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75" w:rsidRDefault="000C19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75" w:rsidRDefault="000C19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2175" w:rsidRDefault="000C19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2175" w:rsidRDefault="004221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22175" w:rsidRDefault="004221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22175" w:rsidRDefault="000C19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22175" w:rsidRDefault="00422175">
      <w:pPr>
        <w:tabs>
          <w:tab w:val="left" w:pos="709"/>
        </w:tabs>
        <w:jc w:val="center"/>
        <w:rPr>
          <w:sz w:val="28"/>
        </w:rPr>
      </w:pPr>
    </w:p>
    <w:p w:rsidR="00422175" w:rsidRDefault="00422175">
      <w:pPr>
        <w:tabs>
          <w:tab w:val="left" w:pos="709"/>
        </w:tabs>
        <w:jc w:val="center"/>
        <w:rPr>
          <w:sz w:val="28"/>
        </w:rPr>
      </w:pPr>
    </w:p>
    <w:p w:rsidR="00422175" w:rsidRDefault="000C19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E571A">
        <w:rPr>
          <w:sz w:val="28"/>
        </w:rPr>
        <w:t>01</w:t>
      </w:r>
      <w:r>
        <w:rPr>
          <w:sz w:val="28"/>
        </w:rPr>
        <w:t>»</w:t>
      </w:r>
      <w:r w:rsidR="004E571A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4E571A">
        <w:rPr>
          <w:sz w:val="28"/>
        </w:rPr>
        <w:tab/>
      </w:r>
      <w:r w:rsidR="004E571A">
        <w:rPr>
          <w:sz w:val="28"/>
        </w:rPr>
        <w:tab/>
      </w:r>
      <w:r>
        <w:rPr>
          <w:sz w:val="28"/>
        </w:rPr>
        <w:t xml:space="preserve">    № </w:t>
      </w:r>
      <w:r w:rsidR="004E571A">
        <w:rPr>
          <w:sz w:val="28"/>
        </w:rPr>
        <w:t>855-п</w:t>
      </w:r>
    </w:p>
    <w:p w:rsidR="00422175" w:rsidRDefault="00422175">
      <w:pPr>
        <w:tabs>
          <w:tab w:val="left" w:pos="709"/>
        </w:tabs>
        <w:jc w:val="both"/>
        <w:rPr>
          <w:sz w:val="28"/>
        </w:rPr>
      </w:pPr>
    </w:p>
    <w:p w:rsidR="00422175" w:rsidRDefault="00422175">
      <w:pPr>
        <w:tabs>
          <w:tab w:val="left" w:pos="709"/>
        </w:tabs>
        <w:jc w:val="both"/>
        <w:rPr>
          <w:color w:val="auto"/>
          <w:sz w:val="28"/>
        </w:rPr>
      </w:pPr>
    </w:p>
    <w:p w:rsidR="00422175" w:rsidRDefault="000C192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Воршевского сельского округа </w:t>
      </w:r>
      <w:r>
        <w:rPr>
          <w:color w:val="auto"/>
          <w:sz w:val="28"/>
          <w:szCs w:val="28"/>
        </w:rPr>
        <w:br/>
        <w:t>Путятинского района Рязанской области</w:t>
      </w:r>
    </w:p>
    <w:bookmarkEnd w:id="0"/>
    <w:p w:rsidR="00422175" w:rsidRDefault="00422175">
      <w:pPr>
        <w:tabs>
          <w:tab w:val="left" w:pos="709"/>
        </w:tabs>
        <w:jc w:val="center"/>
        <w:rPr>
          <w:color w:val="auto"/>
          <w:sz w:val="28"/>
        </w:rPr>
      </w:pPr>
    </w:p>
    <w:p w:rsidR="00422175" w:rsidRDefault="000C19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</w:t>
      </w:r>
      <w:r>
        <w:rPr>
          <w:sz w:val="28"/>
        </w:rPr>
        <w:t>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01-14/3332/25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Путятинский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Воршевского сельского округа Путятинского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</w:t>
      </w:r>
      <w:r>
        <w:rPr>
          <w:rFonts w:ascii="Times New Roman" w:hAnsi="Times New Roman"/>
          <w:color w:val="000000" w:themeColor="text1"/>
          <w:sz w:val="28"/>
          <w:szCs w:val="27"/>
        </w:rPr>
        <w:t>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08.08.2024 № 395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Воршевского </w:t>
      </w:r>
      <w:r>
        <w:rPr>
          <w:rFonts w:ascii="Times New Roman" w:hAnsi="Times New Roman"/>
          <w:color w:val="auto"/>
          <w:sz w:val="28"/>
          <w:szCs w:val="28"/>
        </w:rPr>
        <w:t>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 (в редакции постановления Главархитектуры Рязанской области от 21.05.2025 № 394-п)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422175" w:rsidRDefault="000C192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с. Екатериновка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</w:t>
      </w:r>
      <w:r>
        <w:rPr>
          <w:rFonts w:ascii="Times New Roman" w:hAnsi="Times New Roman"/>
          <w:color w:val="000000" w:themeColor="text1"/>
          <w:sz w:val="28"/>
          <w:szCs w:val="27"/>
        </w:rPr>
        <w:t>астоящему постановлению.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генеральный план муниципального образования – Путятинский муниципальный округ Рязанской области применительно к территории Воршевского сельского округа Путятинского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</w:t>
      </w:r>
      <w:r>
        <w:rPr>
          <w:rFonts w:ascii="Times New Roman" w:hAnsi="Times New Roman"/>
          <w:color w:val="auto"/>
          <w:sz w:val="28"/>
          <w:szCs w:val="28"/>
        </w:rPr>
        <w:t>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</w:t>
      </w:r>
      <w:r>
        <w:rPr>
          <w:rFonts w:ascii="Times New Roman" w:hAnsi="Times New Roman"/>
          <w:color w:val="auto"/>
          <w:sz w:val="28"/>
          <w:szCs w:val="28"/>
        </w:rPr>
        <w:t>печить:</w:t>
      </w:r>
    </w:p>
    <w:p w:rsidR="00422175" w:rsidRDefault="000C19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22175" w:rsidRDefault="000C19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</w:t>
      </w:r>
      <w:r>
        <w:rPr>
          <w:rFonts w:ascii="Times New Roman" w:hAnsi="Times New Roman"/>
          <w:color w:val="auto"/>
          <w:sz w:val="28"/>
          <w:szCs w:val="28"/>
        </w:rPr>
        <w:t>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</w:t>
      </w:r>
      <w:r>
        <w:rPr>
          <w:rFonts w:ascii="Times New Roman" w:hAnsi="Times New Roman"/>
          <w:color w:val="auto"/>
          <w:sz w:val="28"/>
          <w:szCs w:val="28"/>
        </w:rPr>
        <w:t>те главного управления архитектуры и градостроительства Рязанской области                  в сети «Интернет».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</w:t>
      </w:r>
      <w:r>
        <w:rPr>
          <w:rFonts w:ascii="Times New Roman" w:hAnsi="Times New Roman"/>
          <w:color w:val="auto"/>
          <w:sz w:val="28"/>
          <w:szCs w:val="28"/>
        </w:rPr>
        <w:t>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422175" w:rsidRDefault="000C192D" w:rsidP="000C19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22175" w:rsidRDefault="0042217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22175" w:rsidRDefault="0042217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22175" w:rsidRDefault="000C192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422175" w:rsidRDefault="00422175">
      <w:pPr>
        <w:tabs>
          <w:tab w:val="left" w:pos="709"/>
        </w:tabs>
        <w:jc w:val="both"/>
        <w:rPr>
          <w:color w:val="auto"/>
          <w:sz w:val="24"/>
          <w:highlight w:val="white"/>
        </w:rPr>
      </w:pPr>
    </w:p>
    <w:p w:rsidR="00422175" w:rsidRDefault="00422175"/>
    <w:sectPr w:rsidR="00422175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2D" w:rsidRDefault="000C192D">
      <w:r>
        <w:separator/>
      </w:r>
    </w:p>
  </w:endnote>
  <w:endnote w:type="continuationSeparator" w:id="0">
    <w:p w:rsidR="000C192D" w:rsidRDefault="000C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2D" w:rsidRDefault="000C192D">
      <w:r>
        <w:separator/>
      </w:r>
    </w:p>
  </w:footnote>
  <w:footnote w:type="continuationSeparator" w:id="0">
    <w:p w:rsidR="000C192D" w:rsidRDefault="000C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75" w:rsidRDefault="000C192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E571A" w:rsidRPr="004E571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22175" w:rsidRDefault="0042217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36FB"/>
    <w:multiLevelType w:val="multilevel"/>
    <w:tmpl w:val="6E9831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75"/>
    <w:rsid w:val="000C192D"/>
    <w:rsid w:val="00422175"/>
    <w:rsid w:val="004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F6C6"/>
  <w15:docId w15:val="{CCAAB0B8-A83E-4F48-A759-573A8C34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2025-10-01T11:27:00Z</dcterms:created>
  <dcterms:modified xsi:type="dcterms:W3CDTF">2025-10-01T11:28:00Z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