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A8" w:rsidRDefault="005B71BB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011A8" w:rsidRDefault="005B71BB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011A8" w:rsidRDefault="005B71BB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11A8" w:rsidRDefault="009011A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011A8" w:rsidRDefault="009011A8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011A8" w:rsidRDefault="005B71B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11A8" w:rsidRDefault="009011A8">
      <w:pPr>
        <w:tabs>
          <w:tab w:val="left" w:pos="709"/>
        </w:tabs>
        <w:jc w:val="center"/>
        <w:rPr>
          <w:sz w:val="28"/>
        </w:rPr>
      </w:pPr>
    </w:p>
    <w:p w:rsidR="009011A8" w:rsidRDefault="009011A8">
      <w:pPr>
        <w:tabs>
          <w:tab w:val="left" w:pos="709"/>
        </w:tabs>
        <w:jc w:val="center"/>
        <w:rPr>
          <w:sz w:val="28"/>
        </w:rPr>
      </w:pPr>
    </w:p>
    <w:p w:rsidR="009011A8" w:rsidRDefault="005B71B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4A5F">
        <w:rPr>
          <w:sz w:val="28"/>
        </w:rPr>
        <w:t>16</w:t>
      </w:r>
      <w:r>
        <w:rPr>
          <w:sz w:val="28"/>
        </w:rPr>
        <w:t>»</w:t>
      </w:r>
      <w:r w:rsidR="00CD4A5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</w:t>
      </w:r>
      <w:r w:rsidR="00CD4A5F">
        <w:rPr>
          <w:sz w:val="28"/>
        </w:rPr>
        <w:tab/>
      </w:r>
      <w:r w:rsidR="00CD4A5F">
        <w:rPr>
          <w:sz w:val="28"/>
        </w:rPr>
        <w:tab/>
        <w:t xml:space="preserve">   </w:t>
      </w:r>
      <w:r>
        <w:rPr>
          <w:sz w:val="28"/>
        </w:rPr>
        <w:t xml:space="preserve">            № </w:t>
      </w:r>
      <w:r w:rsidR="00CD4A5F">
        <w:rPr>
          <w:sz w:val="28"/>
        </w:rPr>
        <w:t>913-п</w:t>
      </w:r>
    </w:p>
    <w:p w:rsidR="009011A8" w:rsidRDefault="009011A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9011A8">
        <w:trPr>
          <w:trHeight w:val="1515"/>
        </w:trPr>
        <w:tc>
          <w:tcPr>
            <w:tcW w:w="9929" w:type="dxa"/>
          </w:tcPr>
          <w:p w:rsidR="009011A8" w:rsidRDefault="009011A8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9011A8" w:rsidRDefault="005B71BB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9011A8">
        <w:tc>
          <w:tcPr>
            <w:tcW w:w="9929" w:type="dxa"/>
          </w:tcPr>
          <w:p w:rsidR="009011A8" w:rsidRDefault="005B71BB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на основании статьи 24 Градостро</w:t>
            </w:r>
            <w:r>
              <w:rPr>
                <w:color w:val="000000" w:themeColor="text1"/>
                <w:sz w:val="28"/>
              </w:rPr>
              <w:t xml:space="preserve">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      </w:r>
            <w:r>
              <w:rPr>
                <w:color w:val="000000" w:themeColor="text1"/>
                <w:sz w:val="28"/>
              </w:rPr>
              <w:t>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03.10.2025,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</w:t>
            </w:r>
            <w:r>
              <w:rPr>
                <w:color w:val="000000" w:themeColor="text1"/>
                <w:sz w:val="28"/>
              </w:rPr>
              <w:t xml:space="preserve">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внесения изменений в</w:t>
            </w:r>
            <w:r>
              <w:rPr>
                <w:color w:val="000000" w:themeColor="text1"/>
                <w:sz w:val="28"/>
              </w:rPr>
              <w:t xml:space="preserve"> генеральный план муниципального образования – </w:t>
            </w:r>
            <w:proofErr w:type="spellStart"/>
            <w:r>
              <w:t>З</w:t>
            </w:r>
            <w:r>
              <w:rPr>
                <w:color w:val="000000" w:themeColor="text1"/>
                <w:sz w:val="28"/>
              </w:rPr>
              <w:t>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07.12.2021 № 570-п «Об</w:t>
            </w:r>
            <w:r>
              <w:rPr>
                <w:color w:val="000000" w:themeColor="text1"/>
                <w:sz w:val="28"/>
              </w:rPr>
              <w:t xml:space="preserve">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17.10.2022 № 580-п, от 24.09.2025 </w:t>
            </w:r>
            <w:r>
              <w:rPr>
                <w:color w:val="000000" w:themeColor="text1"/>
                <w:sz w:val="28"/>
              </w:rPr>
              <w:br/>
              <w:t xml:space="preserve">№ 815-п), </w:t>
            </w:r>
            <w:r>
              <w:rPr>
                <w:rFonts w:eastAsia="Times New Roman" w:cs="Times New Roman"/>
                <w:sz w:val="28"/>
                <w:szCs w:val="28"/>
              </w:rPr>
              <w:t>(д</w:t>
            </w:r>
            <w:r>
              <w:rPr>
                <w:rFonts w:eastAsia="Times New Roman" w:cs="Times New Roman"/>
                <w:sz w:val="28"/>
                <w:szCs w:val="28"/>
              </w:rPr>
              <w:t>алее – проект внесения изменений в генеральный план)</w:t>
            </w:r>
            <w:r>
              <w:rPr>
                <w:color w:val="000000" w:themeColor="text1"/>
                <w:sz w:val="28"/>
              </w:rPr>
              <w:t xml:space="preserve"> в части</w:t>
            </w:r>
            <w:r>
              <w:rPr>
                <w:color w:val="000000" w:themeColor="text1"/>
                <w:sz w:val="28"/>
                <w:szCs w:val="28"/>
              </w:rPr>
              <w:t xml:space="preserve"> отнесения земельного участка с кадастровым номером 62:02:0020725:199, а также многоконтурных земельных участков с кадастровыми номерами 62:02:0020814:4, 62:02:0000000:226 к функциональной зоне «З</w:t>
            </w:r>
            <w:r>
              <w:rPr>
                <w:color w:val="000000" w:themeColor="text1"/>
                <w:sz w:val="28"/>
                <w:szCs w:val="28"/>
              </w:rPr>
              <w:t>оны сельскохозяйственного использования».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Поручить государственному казенному учреждению Рязанской </w:t>
            </w:r>
            <w:r>
              <w:rPr>
                <w:color w:val="000000" w:themeColor="text1"/>
                <w:sz w:val="28"/>
              </w:rPr>
              <w:lastRenderedPageBreak/>
              <w:t>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</w:t>
            </w:r>
            <w:r>
              <w:rPr>
                <w:color w:val="000000" w:themeColor="text1"/>
                <w:sz w:val="28"/>
              </w:rPr>
              <w:t>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</w:t>
            </w:r>
            <w:r>
              <w:rPr>
                <w:color w:val="000000" w:themeColor="text1"/>
                <w:sz w:val="28"/>
                <w:szCs w:val="28"/>
              </w:rPr>
              <w:t>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9011A8" w:rsidRDefault="005B71B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  </w:t>
            </w:r>
            <w:r>
              <w:rPr>
                <w:color w:val="000000" w:themeColor="text1"/>
                <w:sz w:val="28"/>
                <w:szCs w:val="28"/>
              </w:rPr>
              <w:t>государстве</w:t>
            </w:r>
            <w:r>
              <w:rPr>
                <w:color w:val="000000" w:themeColor="text1"/>
                <w:sz w:val="28"/>
                <w:szCs w:val="28"/>
              </w:rPr>
              <w:t>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9011A8" w:rsidRDefault="005B71BB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 xml:space="preserve">сетевом издании 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</w:t>
            </w:r>
            <w:r>
              <w:rPr>
                <w:color w:val="000000" w:themeColor="text1"/>
                <w:sz w:val="28"/>
              </w:rPr>
              <w:t>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</w:t>
            </w:r>
            <w:r>
              <w:rPr>
                <w:color w:val="000000" w:themeColor="text1"/>
                <w:sz w:val="28"/>
              </w:rPr>
              <w:t>нет».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Захаровский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Захаровское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</w:t>
            </w:r>
            <w:r>
              <w:rPr>
                <w:color w:val="000000" w:themeColor="text1"/>
                <w:sz w:val="28"/>
              </w:rPr>
              <w:t>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011A8" w:rsidRDefault="005B71BB" w:rsidP="005B71B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 Т.С. Попкову.</w:t>
            </w:r>
          </w:p>
          <w:p w:rsidR="009011A8" w:rsidRDefault="009011A8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9011A8" w:rsidRDefault="009011A8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11A8">
        <w:tc>
          <w:tcPr>
            <w:tcW w:w="9929" w:type="dxa"/>
          </w:tcPr>
          <w:p w:rsidR="009011A8" w:rsidRDefault="005B71BB">
            <w:pPr>
              <w:pStyle w:val="30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9011A8" w:rsidRDefault="009011A8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9011A8" w:rsidRDefault="009011A8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9011A8" w:rsidRDefault="009011A8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011A8" w:rsidRDefault="009011A8">
      <w:pPr>
        <w:rPr>
          <w:sz w:val="28"/>
        </w:rPr>
      </w:pPr>
    </w:p>
    <w:p w:rsidR="009011A8" w:rsidRDefault="009011A8">
      <w:pPr>
        <w:tabs>
          <w:tab w:val="left" w:pos="709"/>
        </w:tabs>
        <w:jc w:val="both"/>
        <w:rPr>
          <w:sz w:val="28"/>
        </w:rPr>
      </w:pPr>
    </w:p>
    <w:p w:rsidR="009011A8" w:rsidRDefault="009011A8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9011A8">
      <w:headerReference w:type="default" r:id="rId11"/>
      <w:pgSz w:w="11906" w:h="16838"/>
      <w:pgMar w:top="1134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BB" w:rsidRDefault="005B71BB">
      <w:pPr>
        <w:pStyle w:val="30"/>
      </w:pPr>
      <w:r>
        <w:separator/>
      </w:r>
    </w:p>
  </w:endnote>
  <w:endnote w:type="continuationSeparator" w:id="0">
    <w:p w:rsidR="005B71BB" w:rsidRDefault="005B71B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BB" w:rsidRDefault="005B71BB">
      <w:pPr>
        <w:pStyle w:val="30"/>
      </w:pPr>
      <w:r>
        <w:separator/>
      </w:r>
    </w:p>
  </w:footnote>
  <w:footnote w:type="continuationSeparator" w:id="0">
    <w:p w:rsidR="005B71BB" w:rsidRDefault="005B71B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A8" w:rsidRDefault="005B71BB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11A8" w:rsidRDefault="009011A8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4003"/>
    <w:multiLevelType w:val="multilevel"/>
    <w:tmpl w:val="5B1240D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A8"/>
    <w:rsid w:val="005B71BB"/>
    <w:rsid w:val="009011A8"/>
    <w:rsid w:val="00C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40A2"/>
  <w15:docId w15:val="{FB9E40C3-E1D9-48DC-846F-24BE21D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237</cp:revision>
  <dcterms:created xsi:type="dcterms:W3CDTF">2025-10-16T15:11:00Z</dcterms:created>
  <dcterms:modified xsi:type="dcterms:W3CDTF">2025-10-16T15:14:00Z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