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9E8" w:rsidRDefault="00323938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9E8" w:rsidRDefault="0032393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779E8" w:rsidRDefault="0032393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4779E8" w:rsidRDefault="004779E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779E8" w:rsidRDefault="004779E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4779E8" w:rsidRDefault="0032393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779E8" w:rsidRDefault="004779E8">
      <w:pPr>
        <w:tabs>
          <w:tab w:val="left" w:pos="709"/>
        </w:tabs>
        <w:jc w:val="center"/>
        <w:rPr>
          <w:sz w:val="28"/>
        </w:rPr>
      </w:pPr>
    </w:p>
    <w:p w:rsidR="004779E8" w:rsidRDefault="004779E8">
      <w:pPr>
        <w:tabs>
          <w:tab w:val="left" w:pos="709"/>
        </w:tabs>
        <w:jc w:val="center"/>
        <w:rPr>
          <w:sz w:val="28"/>
        </w:rPr>
      </w:pPr>
    </w:p>
    <w:p w:rsidR="004779E8" w:rsidRDefault="0032393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22CC8">
        <w:rPr>
          <w:sz w:val="28"/>
        </w:rPr>
        <w:t>25</w:t>
      </w:r>
      <w:r>
        <w:rPr>
          <w:sz w:val="28"/>
        </w:rPr>
        <w:t>»</w:t>
      </w:r>
      <w:r w:rsidR="00322CC8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322CC8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№ </w:t>
      </w:r>
      <w:r w:rsidR="00322CC8">
        <w:rPr>
          <w:sz w:val="28"/>
        </w:rPr>
        <w:t>1026-п</w:t>
      </w:r>
    </w:p>
    <w:p w:rsidR="004779E8" w:rsidRDefault="004779E8">
      <w:pPr>
        <w:tabs>
          <w:tab w:val="left" w:pos="709"/>
        </w:tabs>
        <w:jc w:val="both"/>
        <w:rPr>
          <w:sz w:val="28"/>
        </w:rPr>
      </w:pPr>
    </w:p>
    <w:p w:rsidR="004779E8" w:rsidRDefault="004779E8">
      <w:pPr>
        <w:tabs>
          <w:tab w:val="left" w:pos="709"/>
        </w:tabs>
        <w:jc w:val="both"/>
        <w:rPr>
          <w:sz w:val="28"/>
        </w:rPr>
      </w:pPr>
    </w:p>
    <w:p w:rsidR="004779E8" w:rsidRDefault="00323938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 xml:space="preserve">и застройки муниципального образования – </w:t>
      </w:r>
      <w:r>
        <w:rPr>
          <w:sz w:val="28"/>
        </w:rPr>
        <w:t>Борковское сельское поселение Шацкого муниципального района Рязанской области</w:t>
      </w:r>
    </w:p>
    <w:p w:rsidR="004779E8" w:rsidRDefault="004779E8">
      <w:pPr>
        <w:tabs>
          <w:tab w:val="left" w:pos="709"/>
        </w:tabs>
        <w:jc w:val="both"/>
        <w:rPr>
          <w:sz w:val="28"/>
          <w:highlight w:val="white"/>
        </w:rPr>
      </w:pPr>
    </w:p>
    <w:p w:rsidR="004779E8" w:rsidRDefault="00323938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>На основании обращения Бутенко В.В., статьи 33 Градостроительного ко</w:t>
      </w:r>
      <w:r>
        <w:rPr>
          <w:color w:val="000000" w:themeColor="text1"/>
          <w:sz w:val="28"/>
          <w:szCs w:val="28"/>
        </w:rPr>
        <w:t>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</w:t>
      </w:r>
      <w:r>
        <w:rPr>
          <w:color w:val="000000" w:themeColor="text1"/>
          <w:sz w:val="28"/>
          <w:szCs w:val="28"/>
        </w:rPr>
        <w:t>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14.11.2025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153 «Об</w:t>
      </w:r>
      <w:r>
        <w:rPr>
          <w:color w:val="000000" w:themeColor="text1"/>
          <w:sz w:val="28"/>
          <w:szCs w:val="28"/>
        </w:rPr>
        <w:t xml:space="preserve"> утверждении Положения о главном управлении архитектуры </w:t>
      </w:r>
      <w:r>
        <w:rPr>
          <w:color w:val="000000" w:themeColor="text1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000000" w:themeColor="text1"/>
          <w:sz w:val="28"/>
          <w:szCs w:val="28"/>
        </w:rPr>
        <w:br/>
        <w:t>и градостроительства Рязанской области ПОСТАНОВЛЯЕТ:</w:t>
      </w:r>
    </w:p>
    <w:p w:rsidR="004779E8" w:rsidRDefault="00323938" w:rsidP="00323938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землепользов</w:t>
      </w:r>
      <w:r>
        <w:rPr>
          <w:color w:val="000000" w:themeColor="text1"/>
          <w:sz w:val="28"/>
          <w:szCs w:val="28"/>
        </w:rPr>
        <w:t xml:space="preserve">ания и застройки муниципального образования – </w:t>
      </w:r>
      <w:r>
        <w:rPr>
          <w:sz w:val="28"/>
        </w:rPr>
        <w:t>Борковское сельское поселение Шацкого муниципального района Рязанской области</w:t>
      </w:r>
      <w:r>
        <w:rPr>
          <w:color w:val="000000" w:themeColor="text1"/>
          <w:sz w:val="28"/>
        </w:rPr>
        <w:t xml:space="preserve">, утвержденные </w:t>
      </w:r>
      <w:r>
        <w:t>решение</w:t>
      </w:r>
      <w:r>
        <w:rPr>
          <w:color w:val="000000" w:themeColor="text1"/>
          <w:sz w:val="28"/>
        </w:rPr>
        <w:t>м Думы муниципального образования – Шацкий муниципальный район Рязанской области от 16.03.2017 № 42/9 «Об утвер</w:t>
      </w:r>
      <w:r>
        <w:rPr>
          <w:color w:val="000000" w:themeColor="text1"/>
          <w:sz w:val="28"/>
        </w:rPr>
        <w:t>ждении Правил землепользования и застройки сельских поселений Шацкого муниципального района Рязанской области»</w:t>
      </w:r>
      <w:r>
        <w:rPr>
          <w:color w:val="000000" w:themeColor="text1"/>
          <w:sz w:val="28"/>
          <w:szCs w:val="28"/>
        </w:rPr>
        <w:t xml:space="preserve"> (с изменениями, внесенными постановлением Главархитектуры Рязанской области от 25.09.2025 № 819-п) </w:t>
      </w:r>
      <w:r>
        <w:rPr>
          <w:color w:val="000000" w:themeColor="text1"/>
          <w:sz w:val="28"/>
          <w:szCs w:val="28"/>
        </w:rPr>
        <w:br/>
        <w:t>в части:</w:t>
      </w:r>
    </w:p>
    <w:p w:rsidR="004779E8" w:rsidRDefault="00323938">
      <w:pPr>
        <w:ind w:firstLine="709"/>
        <w:jc w:val="both"/>
        <w:rPr>
          <w:rFonts w:eastAsia="Calibri"/>
          <w:lang w:eastAsia="ar-SA"/>
        </w:rPr>
      </w:pPr>
      <w:r>
        <w:rPr>
          <w:color w:val="000000" w:themeColor="text1"/>
          <w:sz w:val="28"/>
          <w:szCs w:val="28"/>
        </w:rPr>
        <w:t xml:space="preserve">–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дополнения перечня территориальных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 зон зоной «Зона отдыха»;</w:t>
      </w:r>
    </w:p>
    <w:p w:rsidR="004779E8" w:rsidRDefault="00323938">
      <w:pPr>
        <w:spacing w:line="276" w:lineRule="auto"/>
        <w:ind w:firstLine="709"/>
        <w:jc w:val="both"/>
        <w:rPr>
          <w:rFonts w:eastAsia="Calibri"/>
        </w:rPr>
      </w:pPr>
      <w:r>
        <w:rPr>
          <w:color w:val="000000" w:themeColor="text1"/>
          <w:sz w:val="28"/>
          <w:szCs w:val="28"/>
        </w:rPr>
        <w:t>–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 установления для территориальной зоны «Зона отдыха» основного вида разрешенного использования земельных участков и объектов капитального строительства: «Отдых (рекреация) (5.0 (5.1-5.5))» и следующих вспомогательных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видов разрешенного использования: </w:t>
      </w:r>
      <w:r>
        <w:rPr>
          <w:rStyle w:val="54"/>
          <w:rFonts w:eastAsia="Arial"/>
          <w:color w:val="000000" w:themeColor="text1"/>
          <w:spacing w:val="2"/>
          <w:sz w:val="28"/>
          <w:szCs w:val="28"/>
          <w:u w:val="none"/>
        </w:rPr>
        <w:t xml:space="preserve">«Предоставление </w:t>
      </w:r>
      <w:r>
        <w:rPr>
          <w:rStyle w:val="54"/>
          <w:rFonts w:eastAsia="Arial"/>
          <w:color w:val="000000" w:themeColor="text1"/>
          <w:spacing w:val="2"/>
          <w:sz w:val="28"/>
          <w:szCs w:val="28"/>
          <w:u w:val="none"/>
        </w:rPr>
        <w:lastRenderedPageBreak/>
        <w:t>коммунальных услуг (3.1.1)», «Размещение автомобильных дорог (7.2.1)», «Общее пользование водными объектами (11.1)»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;</w:t>
      </w:r>
    </w:p>
    <w:p w:rsidR="004779E8" w:rsidRDefault="00323938">
      <w:pPr>
        <w:spacing w:line="276" w:lineRule="auto"/>
        <w:ind w:firstLine="709"/>
        <w:jc w:val="both"/>
        <w:rPr>
          <w:rFonts w:eastAsia="Calibri"/>
        </w:rPr>
      </w:pPr>
      <w:r>
        <w:rPr>
          <w:color w:val="000000" w:themeColor="text1"/>
          <w:sz w:val="28"/>
          <w:szCs w:val="28"/>
        </w:rPr>
        <w:t>–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 установления для территориальной зоны «Зона отдыха» предельных размеров земельных участ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ков, в том числе их площади и предельных параметров разрешенного строительства, реконструкции объектов капитального строительства – НПУ;</w:t>
      </w:r>
    </w:p>
    <w:p w:rsidR="004779E8" w:rsidRDefault="00323938">
      <w:pPr>
        <w:spacing w:line="276" w:lineRule="auto"/>
        <w:ind w:firstLine="709"/>
        <w:jc w:val="both"/>
        <w:rPr>
          <w:rFonts w:eastAsia="Calibri"/>
        </w:rPr>
      </w:pPr>
      <w:r>
        <w:rPr>
          <w:color w:val="000000" w:themeColor="text1"/>
          <w:sz w:val="28"/>
          <w:szCs w:val="28"/>
        </w:rPr>
        <w:t>–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 отнесения земельных участков с кадастровыми номерами </w:t>
      </w:r>
      <w:r>
        <w:rPr>
          <w:rStyle w:val="54"/>
          <w:rFonts w:eastAsia="Arial"/>
          <w:color w:val="000000" w:themeColor="text1"/>
          <w:spacing w:val="2"/>
          <w:sz w:val="28"/>
          <w:szCs w:val="28"/>
          <w:u w:val="none"/>
        </w:rPr>
        <w:t xml:space="preserve">62:24:0060209:512,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площадью 29872 кв. м, </w:t>
      </w:r>
      <w:r>
        <w:rPr>
          <w:rStyle w:val="54"/>
          <w:rFonts w:eastAsia="Arial"/>
          <w:color w:val="000000" w:themeColor="text1"/>
          <w:spacing w:val="2"/>
          <w:sz w:val="28"/>
          <w:szCs w:val="28"/>
          <w:u w:val="none"/>
        </w:rPr>
        <w:t xml:space="preserve">62:24:0060209:513,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площ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адью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br/>
        <w:t xml:space="preserve">28128 кв. м, </w:t>
      </w:r>
      <w:r>
        <w:rPr>
          <w:rStyle w:val="54"/>
          <w:rFonts w:eastAsia="Arial"/>
          <w:color w:val="000000" w:themeColor="text1"/>
          <w:spacing w:val="2"/>
          <w:sz w:val="28"/>
          <w:szCs w:val="28"/>
          <w:u w:val="none"/>
        </w:rPr>
        <w:t xml:space="preserve">62:24:0060209:514,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площадью 50276 кв. м,</w:t>
      </w:r>
      <w:r>
        <w:rPr>
          <w:rStyle w:val="54"/>
          <w:rFonts w:eastAsia="Arial"/>
          <w:color w:val="000000" w:themeColor="text1"/>
          <w:spacing w:val="2"/>
          <w:sz w:val="28"/>
          <w:szCs w:val="28"/>
          <w:u w:val="none"/>
        </w:rPr>
        <w:t xml:space="preserve"> 62:24:0060209:515,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площадью 39224 кв. м, </w:t>
      </w:r>
      <w:r>
        <w:rPr>
          <w:rStyle w:val="54"/>
          <w:rFonts w:eastAsia="Arial"/>
          <w:color w:val="000000" w:themeColor="text1"/>
          <w:spacing w:val="2"/>
          <w:sz w:val="28"/>
          <w:szCs w:val="28"/>
          <w:u w:val="none"/>
        </w:rPr>
        <w:t xml:space="preserve">62:24:0060209:518,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площадью 52664 кв. м, </w:t>
      </w:r>
      <w:r>
        <w:rPr>
          <w:rStyle w:val="54"/>
          <w:rFonts w:eastAsia="Arial"/>
          <w:color w:val="000000" w:themeColor="text1"/>
          <w:spacing w:val="2"/>
          <w:sz w:val="28"/>
          <w:szCs w:val="28"/>
          <w:u w:val="none"/>
        </w:rPr>
        <w:t xml:space="preserve">62:24:0060209:520,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площадью 9930 кв. м, </w:t>
      </w:r>
      <w:r>
        <w:rPr>
          <w:rStyle w:val="54"/>
          <w:rFonts w:eastAsia="Arial"/>
          <w:color w:val="000000" w:themeColor="text1"/>
          <w:spacing w:val="2"/>
          <w:sz w:val="28"/>
          <w:szCs w:val="28"/>
          <w:u w:val="none"/>
        </w:rPr>
        <w:t>62:24:0060209:521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 xml:space="preserve">, площадью 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br/>
        <w:t>8070 кв. м, к территориальной зоне «Зона отды</w:t>
      </w:r>
      <w:r>
        <w:rPr>
          <w:rStyle w:val="1f2"/>
          <w:rFonts w:eastAsia="Calibri"/>
          <w:sz w:val="28"/>
          <w:szCs w:val="28"/>
          <w:highlight w:val="none"/>
          <w:lang w:eastAsia="ar-SA"/>
        </w:rPr>
        <w:t>ха».</w:t>
      </w:r>
    </w:p>
    <w:p w:rsidR="004779E8" w:rsidRDefault="00323938" w:rsidP="00323938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 xml:space="preserve">заинтересованному лицу Бутенко В.В.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color w:val="000000" w:themeColor="text1"/>
          <w:sz w:val="28"/>
          <w:szCs w:val="28"/>
        </w:rPr>
        <w:br/>
      </w:r>
      <w:r>
        <w:rPr>
          <w:sz w:val="28"/>
          <w:szCs w:val="28"/>
          <w:lang w:eastAsia="ar-SA"/>
        </w:rPr>
        <w:t xml:space="preserve">в соответствии 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322CC8">
        <w:rPr>
          <w:color w:val="000000" w:themeColor="text1"/>
          <w:sz w:val="28"/>
          <w:szCs w:val="28"/>
        </w:rPr>
        <w:t>.</w:t>
      </w:r>
    </w:p>
    <w:p w:rsidR="004779E8" w:rsidRDefault="00323938" w:rsidP="0032393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</w:t>
      </w:r>
      <w:r>
        <w:rPr>
          <w:sz w:val="28"/>
          <w:szCs w:val="28"/>
          <w:lang w:eastAsia="ar-SA"/>
        </w:rPr>
        <w:t>тветствии с пунктом 1 настоящего постановления:</w:t>
      </w:r>
    </w:p>
    <w:p w:rsidR="004779E8" w:rsidRDefault="00323938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4779E8" w:rsidRDefault="00323938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4779E8" w:rsidRDefault="00323938" w:rsidP="00323938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правила землепользован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4779E8" w:rsidRDefault="00323938" w:rsidP="00323938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обеспечить:</w:t>
        </w:r>
      </w:hyperlink>
    </w:p>
    <w:p w:rsidR="004779E8" w:rsidRDefault="00323938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4779E8" w:rsidRDefault="00323938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4779E8" w:rsidRDefault="00323938" w:rsidP="0032393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4779E8" w:rsidRDefault="00323938" w:rsidP="0032393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 xml:space="preserve">Предложить главе муниципального образования </w:t>
      </w:r>
      <w:r>
        <w:rPr>
          <w:sz w:val="28"/>
          <w:szCs w:val="28"/>
          <w:lang w:eastAsia="ar-SA"/>
        </w:rPr>
        <w:t xml:space="preserve">– Шацкий муниципальный район Рязанской области, главе муниципального образования – Борковское сельское поселение Шацкого муниципального района Рязанской </w:t>
      </w:r>
      <w:r>
        <w:rPr>
          <w:sz w:val="28"/>
          <w:szCs w:val="28"/>
          <w:lang w:eastAsia="ar-SA"/>
        </w:rPr>
        <w:lastRenderedPageBreak/>
        <w:t xml:space="preserve">области обеспечить размещение настоящего постановления на официальном сайте муниципального образования </w:t>
      </w:r>
      <w:r>
        <w:rPr>
          <w:sz w:val="28"/>
          <w:szCs w:val="28"/>
          <w:lang w:eastAsia="ar-SA"/>
        </w:rPr>
        <w:t>в сети «Интернет», публикацию в средствах массовой информации.</w:t>
      </w:r>
    </w:p>
    <w:p w:rsidR="004779E8" w:rsidRDefault="00323938" w:rsidP="00323938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4779E8" w:rsidRDefault="004779E8">
      <w:pPr>
        <w:widowControl w:val="0"/>
        <w:ind w:left="142"/>
        <w:jc w:val="both"/>
        <w:rPr>
          <w:sz w:val="22"/>
          <w:highlight w:val="yellow"/>
        </w:rPr>
      </w:pPr>
    </w:p>
    <w:p w:rsidR="004779E8" w:rsidRDefault="004779E8">
      <w:pPr>
        <w:widowControl w:val="0"/>
        <w:jc w:val="both"/>
        <w:rPr>
          <w:color w:val="auto"/>
          <w:sz w:val="22"/>
          <w:highlight w:val="white"/>
        </w:rPr>
      </w:pPr>
    </w:p>
    <w:p w:rsidR="004779E8" w:rsidRDefault="00323938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4779E8" w:rsidRDefault="004779E8">
      <w:pPr>
        <w:tabs>
          <w:tab w:val="left" w:pos="709"/>
        </w:tabs>
        <w:jc w:val="both"/>
        <w:rPr>
          <w:sz w:val="24"/>
          <w:highlight w:val="white"/>
        </w:rPr>
      </w:pPr>
    </w:p>
    <w:p w:rsidR="004779E8" w:rsidRDefault="004779E8">
      <w:pPr>
        <w:contextualSpacing/>
        <w:jc w:val="both"/>
        <w:rPr>
          <w:sz w:val="24"/>
        </w:rPr>
      </w:pPr>
    </w:p>
    <w:sectPr w:rsidR="004779E8">
      <w:headerReference w:type="default" r:id="rId11"/>
      <w:pgSz w:w="11906" w:h="16838"/>
      <w:pgMar w:top="1134" w:right="567" w:bottom="113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938" w:rsidRDefault="00323938">
      <w:r>
        <w:separator/>
      </w:r>
    </w:p>
  </w:endnote>
  <w:endnote w:type="continuationSeparator" w:id="0">
    <w:p w:rsidR="00323938" w:rsidRDefault="0032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938" w:rsidRDefault="00323938">
      <w:r>
        <w:separator/>
      </w:r>
    </w:p>
  </w:footnote>
  <w:footnote w:type="continuationSeparator" w:id="0">
    <w:p w:rsidR="00323938" w:rsidRDefault="00323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9E8" w:rsidRDefault="00323938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="00322CC8" w:rsidRPr="00322CC8">
      <w:rPr>
        <w:noProof/>
        <w:sz w:val="28"/>
      </w:rPr>
      <w:t>2</w:t>
    </w:r>
    <w:r>
      <w:rPr>
        <w:sz w:val="28"/>
      </w:rPr>
      <w:fldChar w:fldCharType="end"/>
    </w:r>
  </w:p>
  <w:p w:rsidR="004779E8" w:rsidRDefault="004779E8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7BEC"/>
    <w:multiLevelType w:val="hybridMultilevel"/>
    <w:tmpl w:val="C04A6090"/>
    <w:lvl w:ilvl="0" w:tplc="CCB8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7E2A9C1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9326A80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DCDEDCF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980A597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E0CD04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8F52C9BC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E640D5BA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E9A89122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9E8"/>
    <w:rsid w:val="00322CC8"/>
    <w:rsid w:val="00323938"/>
    <w:rsid w:val="0047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06AF2"/>
  <w15:docId w15:val="{0B2F71D9-2947-4E87-9B13-9262DEA4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875</Words>
  <Characters>4989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120</cp:revision>
  <dcterms:created xsi:type="dcterms:W3CDTF">2020-12-26T06:51:00Z</dcterms:created>
  <dcterms:modified xsi:type="dcterms:W3CDTF">2025-11-26T09:04:00Z</dcterms:modified>
</cp:coreProperties>
</file>