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42C0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границ населенных пунктов (в том числе границ образуемых населенных пунктов).pdf_1"/>
          </v:shape>
        </w:pict>
      </w:r>
    </w:p>
    <w:sectPr w:rsidR="00EC2F08" w:rsidSect="00542C04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928" w:rsidRDefault="008B2928">
      <w:pPr>
        <w:spacing w:after="0" w:line="240" w:lineRule="auto"/>
      </w:pPr>
      <w:r>
        <w:separator/>
      </w:r>
    </w:p>
  </w:endnote>
  <w:endnote w:type="continuationSeparator" w:id="0">
    <w:p w:rsidR="008B2928" w:rsidRDefault="008B2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928" w:rsidRDefault="008B2928">
      <w:pPr>
        <w:spacing w:after="0" w:line="240" w:lineRule="auto"/>
      </w:pPr>
      <w:r>
        <w:separator/>
      </w:r>
    </w:p>
  </w:footnote>
  <w:footnote w:type="continuationSeparator" w:id="0">
    <w:p w:rsidR="008B2928" w:rsidRDefault="008B29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542C04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8B2928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2025-10-21T12:04:00Z</dcterms:modified>
</cp:coreProperties>
</file>