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0267D">
        <w:tc>
          <w:tcPr>
            <w:tcW w:w="5428" w:type="dxa"/>
          </w:tcPr>
          <w:p w:rsidR="00190FF9" w:rsidRPr="00F0267D" w:rsidRDefault="00190FF9" w:rsidP="00F026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267D" w:rsidRPr="00F0267D" w:rsidRDefault="00190FF9" w:rsidP="00F0267D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F0267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0267D" w:rsidRPr="00F0267D">
              <w:rPr>
                <w:rFonts w:ascii="Times New Roman" w:eastAsia="SimSun" w:hAnsi="Times New Roman"/>
                <w:sz w:val="28"/>
                <w:szCs w:val="28"/>
              </w:rPr>
              <w:t xml:space="preserve">№ 2 </w:t>
            </w:r>
          </w:p>
          <w:p w:rsidR="00F0267D" w:rsidRPr="00F0267D" w:rsidRDefault="00F0267D" w:rsidP="00F0267D">
            <w:pPr>
              <w:rPr>
                <w:rFonts w:ascii="Times New Roman" w:hAnsi="Times New Roman"/>
                <w:sz w:val="28"/>
                <w:szCs w:val="28"/>
              </w:rPr>
            </w:pPr>
            <w:r w:rsidRPr="00F0267D">
              <w:rPr>
                <w:rFonts w:ascii="Times New Roman" w:eastAsia="SimSu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F0267D" w:rsidRPr="00F0267D">
        <w:tc>
          <w:tcPr>
            <w:tcW w:w="5428" w:type="dxa"/>
          </w:tcPr>
          <w:p w:rsidR="00F0267D" w:rsidRPr="00F0267D" w:rsidRDefault="00F0267D" w:rsidP="00F026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267D" w:rsidRPr="00F0267D" w:rsidRDefault="00FD2F81" w:rsidP="00F026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25.11.2025 № 449-рг</w:t>
            </w:r>
            <w:bookmarkStart w:id="0" w:name="_GoBack"/>
            <w:bookmarkEnd w:id="0"/>
          </w:p>
        </w:tc>
      </w:tr>
      <w:tr w:rsidR="00F0267D" w:rsidRPr="00F0267D">
        <w:tc>
          <w:tcPr>
            <w:tcW w:w="5428" w:type="dxa"/>
          </w:tcPr>
          <w:p w:rsidR="00F0267D" w:rsidRPr="00F0267D" w:rsidRDefault="00F0267D" w:rsidP="00F026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267D" w:rsidRPr="00F0267D" w:rsidRDefault="00F0267D" w:rsidP="00F026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67D" w:rsidRPr="00F0267D">
        <w:tc>
          <w:tcPr>
            <w:tcW w:w="5428" w:type="dxa"/>
          </w:tcPr>
          <w:p w:rsidR="00F0267D" w:rsidRPr="00F0267D" w:rsidRDefault="00F0267D" w:rsidP="00F026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267D" w:rsidRPr="00F0267D" w:rsidRDefault="00F0267D" w:rsidP="00F026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267D" w:rsidRPr="00F0267D" w:rsidRDefault="00F0267D" w:rsidP="00F0267D">
      <w:pPr>
        <w:rPr>
          <w:rFonts w:ascii="Times New Roman" w:eastAsia="SimSun" w:hAnsi="Times New Roman"/>
          <w:sz w:val="28"/>
          <w:szCs w:val="28"/>
          <w:lang w:val="ru"/>
        </w:rPr>
      </w:pPr>
    </w:p>
    <w:p w:rsidR="00F0267D" w:rsidRP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</w:rPr>
      </w:pPr>
      <w:proofErr w:type="gramStart"/>
      <w:r w:rsidRPr="00F0267D">
        <w:rPr>
          <w:rFonts w:ascii="Times New Roman" w:eastAsia="SimSun" w:hAnsi="Times New Roman"/>
          <w:sz w:val="28"/>
          <w:szCs w:val="28"/>
        </w:rPr>
        <w:t>П</w:t>
      </w:r>
      <w:proofErr w:type="gramEnd"/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</w:rPr>
        <w:t>О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</w:rPr>
        <w:t>Л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</w:rPr>
        <w:t>О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</w:rPr>
        <w:t>Ж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</w:rPr>
        <w:t>Е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</w:rPr>
        <w:t>Н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</w:rPr>
        <w:t>И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</w:rPr>
        <w:t>Е</w:t>
      </w:r>
    </w:p>
    <w:p w:rsid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  <w:lang w:val="ru"/>
        </w:rPr>
        <w:t xml:space="preserve">о </w:t>
      </w:r>
      <w:r w:rsidRPr="00F0267D">
        <w:rPr>
          <w:rFonts w:ascii="Times New Roman" w:eastAsia="SimSun" w:hAnsi="Times New Roman"/>
          <w:sz w:val="28"/>
          <w:szCs w:val="28"/>
        </w:rPr>
        <w:t xml:space="preserve">комиссии по установлению причинно-следственной связи </w:t>
      </w:r>
      <w:proofErr w:type="gramStart"/>
      <w:r w:rsidRPr="00F0267D">
        <w:rPr>
          <w:rFonts w:ascii="Times New Roman" w:eastAsia="SimSun" w:hAnsi="Times New Roman"/>
          <w:sz w:val="28"/>
          <w:szCs w:val="28"/>
        </w:rPr>
        <w:t>между</w:t>
      </w:r>
      <w:proofErr w:type="gramEnd"/>
    </w:p>
    <w:p w:rsid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>получением вреда жизни или здоровью добровольца (волонтера)</w:t>
      </w:r>
    </w:p>
    <w:p w:rsid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>и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</w:rPr>
        <w:t xml:space="preserve">осуществлением им вида </w:t>
      </w:r>
      <w:proofErr w:type="gramStart"/>
      <w:r w:rsidRPr="00F0267D">
        <w:rPr>
          <w:rFonts w:ascii="Times New Roman" w:eastAsia="SimSun" w:hAnsi="Times New Roman"/>
          <w:sz w:val="28"/>
          <w:szCs w:val="28"/>
        </w:rPr>
        <w:t>добровольческой</w:t>
      </w:r>
      <w:proofErr w:type="gramEnd"/>
      <w:r w:rsidRPr="00F0267D">
        <w:rPr>
          <w:rFonts w:ascii="Times New Roman" w:eastAsia="SimSun" w:hAnsi="Times New Roman"/>
          <w:sz w:val="28"/>
          <w:szCs w:val="28"/>
        </w:rPr>
        <w:t xml:space="preserve"> (волонтерской)</w:t>
      </w:r>
    </w:p>
    <w:p w:rsid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>деятельности, а также причинно-следственной связи между смертью</w:t>
      </w:r>
    </w:p>
    <w:p w:rsid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>(гибелью) добровольца (волонтера) и вредом жизни или здоровью</w:t>
      </w:r>
    </w:p>
    <w:p w:rsid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>добровольца (волонтера), полученным добровольцем (волонтером)</w:t>
      </w:r>
    </w:p>
    <w:p w:rsidR="00F0267D" w:rsidRP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 xml:space="preserve">при осуществлении им добровольческой (волонтерской) деятельности </w:t>
      </w:r>
    </w:p>
    <w:p w:rsidR="00F0267D" w:rsidRP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</w:rPr>
      </w:pPr>
    </w:p>
    <w:p w:rsidR="00F0267D" w:rsidRPr="00F0267D" w:rsidRDefault="00F0267D" w:rsidP="00F0267D">
      <w:pPr>
        <w:jc w:val="center"/>
        <w:rPr>
          <w:rFonts w:ascii="Times New Roman" w:eastAsia="SimSun" w:hAnsi="Times New Roman"/>
          <w:b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1. Общие положения</w:t>
      </w:r>
    </w:p>
    <w:p w:rsidR="00F0267D" w:rsidRDefault="00F0267D" w:rsidP="00F0267D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0267D" w:rsidRPr="00F0267D" w:rsidRDefault="00F0267D" w:rsidP="00F0267D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1.</w:t>
      </w:r>
      <w:r>
        <w:rPr>
          <w:rFonts w:ascii="Times New Roman" w:eastAsia="SimSun" w:hAnsi="Times New Roman"/>
          <w:sz w:val="28"/>
          <w:szCs w:val="28"/>
          <w:lang w:eastAsia="zh-CN"/>
        </w:rPr>
        <w:t>1. 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Настоящее Положение определяет порядок работы комиссии по установлению </w:t>
      </w:r>
      <w:bookmarkStart w:id="1" w:name="_Hlk208846349"/>
      <w:bookmarkStart w:id="2" w:name="_Hlk208936819"/>
      <w:r w:rsidRPr="00F0267D">
        <w:rPr>
          <w:rFonts w:ascii="Times New Roman" w:eastAsia="SimSun" w:hAnsi="Times New Roman"/>
          <w:sz w:val="28"/>
          <w:szCs w:val="28"/>
          <w:lang w:eastAsia="zh-CN"/>
        </w:rPr>
        <w:t>причинно-следственной связи между получением вреда жизни или здоровью добровольца (волонтера) и осуществлением им вида добровольческой (волонтерской) деятельности, а также причинно-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следственной связи между смертью (гибелью) добровольца (волонтера) и вредом жизни или здоровью добровольца (волонтера), полученным добровольцем (волонтером) при осуществлении им добровольческой (волонтерской) деятельности (далее – Комиссия).</w:t>
      </w:r>
      <w:proofErr w:type="gramEnd"/>
    </w:p>
    <w:bookmarkEnd w:id="1"/>
    <w:bookmarkEnd w:id="2"/>
    <w:p w:rsidR="00F0267D" w:rsidRPr="00F0267D" w:rsidRDefault="00F0267D" w:rsidP="00F0267D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1.2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>. 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В своей деятельности Комиссия руководствуется </w:t>
      </w:r>
      <w:hyperlink r:id="rId10" w:history="1">
        <w:r w:rsidRPr="00F0267D">
          <w:rPr>
            <w:rFonts w:ascii="Times New Roman" w:eastAsia="SimSun" w:hAnsi="Times New Roman"/>
            <w:sz w:val="28"/>
            <w:szCs w:val="28"/>
            <w:lang w:eastAsia="zh-CN"/>
          </w:rPr>
          <w:t>Конституцией</w:t>
        </w:r>
      </w:hyperlink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Российской Федерации, нормативными правовыми актами Российской Федерации и Рязанской области, иными правовыми актами Рязанской области, а также настоящим Положением.</w:t>
      </w:r>
    </w:p>
    <w:p w:rsidR="00F0267D" w:rsidRPr="00F0267D" w:rsidRDefault="00F0267D" w:rsidP="00F0267D">
      <w:pPr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1.3.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> 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Комиссия осуществляет свою деятельность во взаимодействии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>с</w:t>
      </w:r>
      <w:r w:rsidRPr="00F0267D">
        <w:rPr>
          <w:rFonts w:ascii="Times New Roman" w:eastAsia="SimSun" w:hAnsi="Times New Roman"/>
          <w:sz w:val="28"/>
          <w:szCs w:val="28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федеральными органами исполнительной власти, федеральными государственными органами, органами государственной власти Рязанской области, органами местного самоуправления, иными органами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 xml:space="preserve">и организациями (далее – органы и организации), индивидуальными предпринимателями, указанными в пункте 2.1 настоящего Положения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 xml:space="preserve">(далее – индивидуальные предприниматели). </w:t>
      </w:r>
    </w:p>
    <w:p w:rsidR="00F0267D" w:rsidRPr="00F0267D" w:rsidRDefault="00F0267D" w:rsidP="00F0267D">
      <w:pPr>
        <w:ind w:firstLine="709"/>
        <w:jc w:val="center"/>
        <w:rPr>
          <w:rFonts w:ascii="Times New Roman" w:eastAsia="SimSun" w:hAnsi="Times New Roman"/>
          <w:sz w:val="28"/>
          <w:szCs w:val="28"/>
          <w:lang w:val="ru"/>
        </w:rPr>
      </w:pPr>
    </w:p>
    <w:p w:rsidR="00F0267D" w:rsidRP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2. Основные задачи и функции Комиссии</w:t>
      </w:r>
    </w:p>
    <w:p w:rsidR="000E1505" w:rsidRDefault="000E1505" w:rsidP="00F0267D">
      <w:pPr>
        <w:ind w:firstLine="709"/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2.1. Основн</w:t>
      </w:r>
      <w:r w:rsidR="000E1505">
        <w:rPr>
          <w:rFonts w:ascii="Times New Roman" w:eastAsia="SimSun" w:hAnsi="Times New Roman"/>
          <w:sz w:val="28"/>
          <w:szCs w:val="28"/>
          <w:lang w:val="ru" w:eastAsia="zh-CN"/>
        </w:rPr>
        <w:t>ой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 задач</w:t>
      </w:r>
      <w:r w:rsidR="000E1505">
        <w:rPr>
          <w:rFonts w:ascii="Times New Roman" w:eastAsia="SimSun" w:hAnsi="Times New Roman"/>
          <w:sz w:val="28"/>
          <w:szCs w:val="28"/>
          <w:lang w:val="ru" w:eastAsia="zh-CN"/>
        </w:rPr>
        <w:t>ей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 Комиссии явля</w:t>
      </w:r>
      <w:r w:rsidR="000E1505">
        <w:rPr>
          <w:rFonts w:ascii="Times New Roman" w:eastAsia="SimSun" w:hAnsi="Times New Roman"/>
          <w:sz w:val="28"/>
          <w:szCs w:val="28"/>
          <w:lang w:val="ru" w:eastAsia="zh-CN"/>
        </w:rPr>
        <w:t>е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тся установление соответствующей причинно-следственной связи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между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:</w:t>
      </w: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- получением вреда жизни или здоровью добровольца (волонтера)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 xml:space="preserve">и осуществлением им вида добровольческой (волонтерской) деятельности,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 xml:space="preserve">а также причинно-следственной связи между смертью (гибелью) добровольца (волонтера) и вредом жизни или здоровью добровольца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lastRenderedPageBreak/>
        <w:t>(волонтера), полученным добровольцем (волонтером) при осуществлении им добровольческой (волонтерской) деятельности, в случае если смерть (гибель) добровольца (волонтера) наступила до истечения одного года со дня получения вреда жизни или здоровью добровольца (волонтера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),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полученного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добровольцем (волонтером) при осуществлении им добровольческой (волонтерской) деятельности на территории Рязанской области;</w:t>
      </w: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- смертью волонтеров, осуществлявших свою деятельность на территориях Донецкой Народной Республики, Луганской Народной Республики, Запорожской области и Херсонской области, физических лиц, привлеченных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индивидуальным предпринимателем и прибывших для непосредственного участия в выполнении работ (оказании услуг) по обеспечению жизнедеятельности населения и (или) восстановлению объектов инфраструктуры (в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том числе по восстановлению вооружения, военной и специальной техники), фортификационному оборудованию рубежей и позиций (включая перевозки пассажиров и грузов) на этих территориях, до истечения 1 года со дня прекращения волонтерской деятельности на этих территориях, возвращения с этих территорий и увечьем (ранением, травмой, контузией) или заболеванием, полученными ими при осуществлении волонтерской деятельности, выполнении соответствующих задач, работ (оказании услуг) на указанных территориях,</w:t>
      </w:r>
      <w:proofErr w:type="gramEnd"/>
    </w:p>
    <w:p w:rsidR="00F0267D" w:rsidRPr="00F0267D" w:rsidRDefault="00F0267D" w:rsidP="000E1505">
      <w:pPr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(далее – соответствующая причинно-следственная связь)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2.2. Комиссия осуществляет следующие функции:</w:t>
      </w: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1) рассмотрение ходатайств об установлении соответствующей причинно-следственной связи и документов, указанных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в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:</w:t>
      </w: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  <w:proofErr w:type="gramStart"/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- пункте 11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Правил установления причинно-следственной связи между получением вреда жизни или здоровью добровольца (волонтера)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 xml:space="preserve">и осуществлением им вида добровольческой (волонтерской) деятельности,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</w:r>
      <w:r w:rsidRPr="00F0267D">
        <w:rPr>
          <w:rFonts w:ascii="Times New Roman" w:eastAsia="SimSun" w:hAnsi="Times New Roman"/>
          <w:spacing w:val="-4"/>
          <w:sz w:val="28"/>
          <w:szCs w:val="28"/>
          <w:lang w:eastAsia="zh-CN"/>
        </w:rPr>
        <w:t>а также причинно-следственной связи между смертью (гибелью) добровольца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(волонтера) и вредом жизни или здоровью добровольца (волонтера), полученным добровольцем (волонтером) при осуществлении им добровольческой (волонтерской) деятельности, в случае если смерть (гибель) добровольца (волонтера) наступила до истечения одного года со дня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получения вреда жизни или здоровью добровольца (волонтера), полученного добровольцем (волонтером) при осуществлении им добровольческой (волонтерской) деятельности, являющихся приложением № 1 к </w:t>
      </w:r>
      <w:hyperlink r:id="rId11" w:history="1">
        <w:r w:rsidRPr="00F0267D">
          <w:rPr>
            <w:rFonts w:ascii="Times New Roman" w:eastAsia="SimSun" w:hAnsi="Times New Roman"/>
            <w:sz w:val="28"/>
            <w:szCs w:val="28"/>
            <w:lang w:eastAsia="zh-CN"/>
          </w:rPr>
          <w:t>Правила</w:t>
        </w:r>
      </w:hyperlink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м </w:t>
      </w:r>
      <w:r w:rsidRPr="00F0267D">
        <w:rPr>
          <w:rFonts w:ascii="Times New Roman" w:eastAsia="SimSun" w:hAnsi="Times New Roman"/>
          <w:spacing w:val="-4"/>
          <w:sz w:val="28"/>
          <w:szCs w:val="28"/>
          <w:lang w:eastAsia="zh-CN"/>
        </w:rPr>
        <w:t>назначения и выплаты компенсации, предусмотренной пунктом 1.1 статьи 17.1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Федерального закона «О благотворительной деятельности и добровольчестве (</w:t>
      </w:r>
      <w:proofErr w:type="spell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волонтерстве</w:t>
      </w:r>
      <w:proofErr w:type="spell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)», утвержденным постановлением Правительства Российской Федерации от 07 марта 2023 г. № 356 (далее соответственно –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 xml:space="preserve">приложение № 1 к 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Правилам № 356, Правила № 356); </w:t>
      </w:r>
      <w:proofErr w:type="gramEnd"/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- пункте 11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Правил установления причинно-следственной связи между смертью волонтеров, осуществлявших свою деятельность на территориях Донецкой Народной Республики, Луганской Народной Республики,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lastRenderedPageBreak/>
        <w:t>Запорожской области и Херсонской области, физических лиц, привлеченных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индивидуальным предпринимателем и прибывших для непосредственного участия в выполнении работ (оказании услуг) по обеспечению жизнедеятельности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населения и (или) восстановлению объектов инфраструктуры (в том числе по восстановлению вооружения, военной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>и специальной техники), фортификационному оборудованию рубежей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>и позиций (включая перевозки пассажиров и грузов) на этих территориях,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>до истечения 1 года со дня прекращения волонтерской деятельности на этих территориях, возвращения с этих территорий и увечьем (ранением, травмой, контузией) или заболеванием, полученными ими при осуществлении волонтерской деятельности, выполнении соответствующих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задач, работ (оказании услуг) на указанных территориях, являющихся приложением к </w:t>
      </w:r>
      <w:hyperlink r:id="rId12" w:history="1">
        <w:r w:rsidRPr="00F0267D">
          <w:rPr>
            <w:rFonts w:ascii="Times New Roman" w:eastAsia="SimSun" w:hAnsi="Times New Roman"/>
            <w:sz w:val="28"/>
            <w:szCs w:val="28"/>
            <w:lang w:eastAsia="zh-CN"/>
          </w:rPr>
          <w:t>Правила</w:t>
        </w:r>
      </w:hyperlink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м назначения и осуществления единовременных выплат, установленных указами Президента Российской Федерации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 xml:space="preserve">от 30 апреля 2022 г. </w:t>
      </w:r>
      <w:hyperlink r:id="rId13" w:history="1">
        <w:r w:rsidRPr="00F0267D">
          <w:rPr>
            <w:rFonts w:ascii="Times New Roman" w:eastAsia="SimSun" w:hAnsi="Times New Roman"/>
            <w:sz w:val="28"/>
            <w:szCs w:val="28"/>
            <w:lang w:eastAsia="zh-CN"/>
          </w:rPr>
          <w:t>№ 247</w:t>
        </w:r>
      </w:hyperlink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«О поддержке волонтерской деятельности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>на территориях Донецкой Народной Республики, Луганской Народной Республики, Запорожской области и Херсонской области»,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от 29 декабря </w:t>
      </w:r>
      <w:r w:rsidRPr="00F0267D">
        <w:rPr>
          <w:rFonts w:ascii="Times New Roman" w:eastAsia="SimSun" w:hAnsi="Times New Roman"/>
          <w:spacing w:val="-4"/>
          <w:sz w:val="28"/>
          <w:szCs w:val="28"/>
          <w:lang w:eastAsia="zh-CN"/>
        </w:rPr>
        <w:t xml:space="preserve">2022 г. </w:t>
      </w:r>
      <w:hyperlink r:id="rId14" w:history="1">
        <w:r w:rsidRPr="000E1505">
          <w:rPr>
            <w:rFonts w:ascii="Times New Roman" w:eastAsia="SimSun" w:hAnsi="Times New Roman"/>
            <w:spacing w:val="-4"/>
            <w:sz w:val="28"/>
            <w:szCs w:val="28"/>
            <w:lang w:eastAsia="zh-CN"/>
          </w:rPr>
          <w:t>№ 972</w:t>
        </w:r>
      </w:hyperlink>
      <w:r w:rsidRPr="00F0267D">
        <w:rPr>
          <w:rFonts w:ascii="Times New Roman" w:eastAsia="SimSun" w:hAnsi="Times New Roman"/>
          <w:spacing w:val="-4"/>
          <w:sz w:val="28"/>
          <w:szCs w:val="28"/>
          <w:lang w:eastAsia="zh-CN"/>
        </w:rPr>
        <w:t xml:space="preserve"> «О дополнительных социальных гарантиях лицам, направленным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(командированным) на территории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Донецкой Народной Республики, Луганской Народной Республики, Запорожской области, Херсонской области, и членам их семей», от 14 июля 2023 г.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hyperlink r:id="rId15" w:history="1">
        <w:r w:rsidRPr="00F0267D">
          <w:rPr>
            <w:rFonts w:ascii="Times New Roman" w:eastAsia="SimSun" w:hAnsi="Times New Roman"/>
            <w:sz w:val="28"/>
            <w:szCs w:val="28"/>
            <w:lang w:eastAsia="zh-CN"/>
          </w:rPr>
          <w:t>№ 518</w:t>
        </w:r>
      </w:hyperlink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«О дополнительных социальных гарантиях лицам, выполняющим работы на территориях </w:t>
      </w:r>
      <w:r w:rsidRPr="00F0267D">
        <w:rPr>
          <w:rFonts w:ascii="Times New Roman" w:eastAsia="SimSun" w:hAnsi="Times New Roman"/>
          <w:spacing w:val="-4"/>
          <w:sz w:val="28"/>
          <w:szCs w:val="28"/>
          <w:lang w:eastAsia="zh-CN"/>
        </w:rPr>
        <w:t>отдельных субъектов Российской Федерации, и членам их семей», от 25 августа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2023 г. </w:t>
      </w:r>
      <w:hyperlink r:id="rId16" w:history="1">
        <w:r w:rsidRPr="00F0267D">
          <w:rPr>
            <w:rFonts w:ascii="Times New Roman" w:eastAsia="SimSun" w:hAnsi="Times New Roman"/>
            <w:sz w:val="28"/>
            <w:szCs w:val="28"/>
            <w:lang w:eastAsia="zh-CN"/>
          </w:rPr>
          <w:t>№ 640</w:t>
        </w:r>
      </w:hyperlink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«О мерах социальной защиты работников некоторых государственных предприятий» и от 14 ноября 2024 г. </w:t>
      </w:r>
      <w:hyperlink r:id="rId17" w:history="1">
        <w:r w:rsidRPr="00F0267D">
          <w:rPr>
            <w:rFonts w:ascii="Times New Roman" w:eastAsia="SimSun" w:hAnsi="Times New Roman"/>
            <w:sz w:val="28"/>
            <w:szCs w:val="28"/>
            <w:lang w:eastAsia="zh-CN"/>
          </w:rPr>
          <w:t>№ 968</w:t>
        </w:r>
      </w:hyperlink>
      <w:r w:rsidR="000E1505">
        <w:rPr>
          <w:rFonts w:ascii="Times New Roman" w:eastAsia="SimSun" w:hAnsi="Times New Roman"/>
          <w:sz w:val="28"/>
          <w:szCs w:val="28"/>
          <w:lang w:eastAsia="zh-CN"/>
        </w:rPr>
        <w:br/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>«О дополнительных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социальных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гарантиях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отдельным категориям лиц», утвержденным постановлением Правительства Российской Федерации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br/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>от 06 мая 2022 г. № 824 (далее соответственно – правила установления причинно-следственной связи Правил № 824, Правила № 824);</w:t>
      </w: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2) принятие решений по результатам рассмотрения ходатайств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br/>
      </w:r>
      <w:r w:rsidRPr="00F0267D">
        <w:rPr>
          <w:rFonts w:ascii="Times New Roman" w:eastAsia="SimSun" w:hAnsi="Times New Roman"/>
          <w:spacing w:val="-4"/>
          <w:sz w:val="28"/>
          <w:szCs w:val="28"/>
          <w:lang w:val="ru" w:eastAsia="zh-CN"/>
        </w:rPr>
        <w:t>об установлении соответствующей причинно-следственной связи</w:t>
      </w:r>
      <w:r w:rsidR="000E1505" w:rsidRPr="000E1505">
        <w:rPr>
          <w:rFonts w:ascii="Times New Roman" w:eastAsia="SimSun" w:hAnsi="Times New Roman"/>
          <w:spacing w:val="-4"/>
          <w:sz w:val="28"/>
          <w:szCs w:val="28"/>
          <w:lang w:val="ru" w:eastAsia="zh-CN"/>
        </w:rPr>
        <w:t xml:space="preserve"> </w:t>
      </w:r>
      <w:r w:rsidRPr="00F0267D">
        <w:rPr>
          <w:rFonts w:ascii="Times New Roman" w:eastAsia="SimSun" w:hAnsi="Times New Roman"/>
          <w:spacing w:val="-4"/>
          <w:sz w:val="28"/>
          <w:szCs w:val="28"/>
          <w:lang w:val="ru" w:eastAsia="zh-CN"/>
        </w:rPr>
        <w:t>и документов,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 указанных в подпункте 1 настоящего пункта;</w:t>
      </w: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3) оформление Комиссией соответствующих заключений о причинно-следственной связи:</w:t>
      </w: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- по форме, предусмотренной приложением № 2 к Правилам № 356;</w:t>
      </w:r>
    </w:p>
    <w:p w:rsidR="00F0267D" w:rsidRPr="00F0267D" w:rsidRDefault="00F0267D" w:rsidP="000E1505">
      <w:pPr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- по форме, предусмотренной приложением к правилам установления причинно-следственной связи Правил № 824,</w:t>
      </w:r>
    </w:p>
    <w:p w:rsidR="00F0267D" w:rsidRPr="00F0267D" w:rsidRDefault="00F0267D" w:rsidP="000E1505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(далее – соответствующее заключение).</w:t>
      </w:r>
    </w:p>
    <w:p w:rsidR="00F0267D" w:rsidRPr="00F0267D" w:rsidRDefault="00F0267D" w:rsidP="00F0267D">
      <w:pPr>
        <w:ind w:firstLine="709"/>
        <w:jc w:val="center"/>
        <w:rPr>
          <w:rFonts w:ascii="Times New Roman" w:eastAsia="SimSun" w:hAnsi="Times New Roman"/>
          <w:sz w:val="28"/>
          <w:szCs w:val="28"/>
        </w:rPr>
      </w:pPr>
    </w:p>
    <w:p w:rsidR="00F0267D" w:rsidRP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3. Полномочия Комиссии</w:t>
      </w:r>
    </w:p>
    <w:p w:rsidR="000E1505" w:rsidRDefault="000E1505" w:rsidP="00F0267D">
      <w:pPr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F0267D" w:rsidRPr="00F0267D" w:rsidRDefault="00F0267D" w:rsidP="00F0267D">
      <w:pPr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>3.1. Комиссия для решения возложенных на нее задач осуществляет следующие полномочия:</w:t>
      </w:r>
    </w:p>
    <w:p w:rsidR="00F0267D" w:rsidRPr="00F0267D" w:rsidRDefault="00F0267D" w:rsidP="00F0267D">
      <w:pPr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lastRenderedPageBreak/>
        <w:t>1) запрашивает и получает в установленном порядке необходимые материалы и информацию от органов и организаций, индивидуальных предпринимателей путем направления запросов.</w:t>
      </w:r>
    </w:p>
    <w:p w:rsidR="00F0267D" w:rsidRPr="00F0267D" w:rsidRDefault="00F0267D" w:rsidP="00F0267D">
      <w:pPr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 xml:space="preserve">Срок рассмотрения указанных запросов органами и организациями, индивидуальными предпринимателями не должен превышать 5 календарных дней </w:t>
      </w:r>
      <w:proofErr w:type="gramStart"/>
      <w:r w:rsidRPr="00F0267D">
        <w:rPr>
          <w:rFonts w:ascii="Times New Roman" w:eastAsia="SimSun" w:hAnsi="Times New Roman"/>
          <w:sz w:val="28"/>
          <w:szCs w:val="28"/>
        </w:rPr>
        <w:t>с даты регистрации</w:t>
      </w:r>
      <w:proofErr w:type="gramEnd"/>
      <w:r w:rsidRPr="00F0267D">
        <w:rPr>
          <w:rFonts w:ascii="Times New Roman" w:eastAsia="SimSun" w:hAnsi="Times New Roman"/>
          <w:sz w:val="28"/>
          <w:szCs w:val="28"/>
        </w:rPr>
        <w:t xml:space="preserve"> запросов Комиссии;</w:t>
      </w:r>
    </w:p>
    <w:p w:rsidR="00F0267D" w:rsidRPr="00F0267D" w:rsidRDefault="00F0267D" w:rsidP="00F0267D">
      <w:pPr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 xml:space="preserve">2) пользуется государственными информационными системами </w:t>
      </w:r>
      <w:r w:rsidRPr="00F0267D">
        <w:rPr>
          <w:rFonts w:ascii="Times New Roman" w:eastAsia="SimSun" w:hAnsi="Times New Roman"/>
          <w:sz w:val="28"/>
          <w:szCs w:val="28"/>
        </w:rPr>
        <w:br/>
        <w:t>в случаях и порядке, которые предусмотрены законодательством Российской Федерации;</w:t>
      </w:r>
    </w:p>
    <w:p w:rsidR="00F0267D" w:rsidRPr="00F0267D" w:rsidRDefault="00F0267D" w:rsidP="00F0267D">
      <w:pPr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>3) приглашает для участия в работе должностных лиц и специалистов (экспертов) органов и организаций, не входящих в состав Комиссии;</w:t>
      </w:r>
    </w:p>
    <w:p w:rsidR="00F0267D" w:rsidRPr="00F0267D" w:rsidRDefault="00F0267D" w:rsidP="00F0267D">
      <w:pPr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z w:val="28"/>
          <w:szCs w:val="28"/>
        </w:rPr>
        <w:t>4) осуществляет иные полномочия, не противоречащие действующему законодательству и необходимые для эффективной реализации задач деятельности Комиссии.</w:t>
      </w:r>
    </w:p>
    <w:p w:rsidR="00F0267D" w:rsidRPr="00F0267D" w:rsidRDefault="00F0267D" w:rsidP="00F0267D">
      <w:pPr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F0267D" w:rsidRDefault="00F0267D" w:rsidP="00F0267D">
      <w:pPr>
        <w:jc w:val="center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4. Состав и организация деятельности Комиссии</w:t>
      </w:r>
    </w:p>
    <w:p w:rsidR="000E1505" w:rsidRPr="00F0267D" w:rsidRDefault="000E1505" w:rsidP="00F0267D">
      <w:pPr>
        <w:jc w:val="center"/>
        <w:rPr>
          <w:rFonts w:ascii="Times New Roman" w:eastAsia="SimSun" w:hAnsi="Times New Roman"/>
          <w:sz w:val="28"/>
          <w:szCs w:val="28"/>
          <w:lang w:val="ru" w:eastAsia="zh-CN"/>
        </w:rPr>
      </w:pPr>
    </w:p>
    <w:p w:rsidR="00F0267D" w:rsidRPr="00F0267D" w:rsidRDefault="00F0267D" w:rsidP="00F0267D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 Состав Комиссии утверждается Губернатором Рязанской области.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Комиссия формируется в составе председателя Комиссии, заместителя председателя Комиссии, ответственного секретаря Комиссии и членов Комиссии.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4.2. В состав Комиссии должно входить нечетное количество членов 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br/>
        <w:t>(не менее 7 человек). На должность председателя Комиссии назначается один из заместителей Председателя Правительства Рязанской области.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4.3. Члены Комиссии осуществляют свою деятельность на безвозмездной основе, обладают равными правами при обсуждении рассматриваемых на заседании вопросов и не вправе разглашать сведения, ставшие им известными в ходе работы Комиссии.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4.4. Председатель Комиссии: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1) осуществляет руководство деятельностью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2) организует работу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3) принимает решение о созыве заседания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4) председательствует на заседаниях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5) подписывает запросы Комиссии о представлении необходимых материалов и информации;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6) подписывает протоколы, содержащие принятые решения Комиссии, соответствующие заключения Комиссии.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4.5. Заместитель председателя Комиссии в отсутствие председателя Комиссии исполняет его полномочия.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4.6. Ответственный секретарь Комиссии: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1) подготавливает и организует созыв заседаний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2)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> 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направляет копии поступивших в Комиссию ходатайств об установлении соответствующей причинно-следственной связи и документов, указанных в подпункте 1 пункта 2.2 настоящего Положения, членам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lastRenderedPageBreak/>
        <w:t>Комиссии в срок не позднее двух рабочих дней, следующих за датой регистрации указанных ходатайств и документов;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3) осуществляет делопроизводство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4) формирует повестку заседания Комиссии и представляет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 xml:space="preserve">ее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>на утверждение председателю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5) обеспечивает подготовку проектов протоколов, содержащих принятые решения Комиссии, соответствующих заключений Комиссии и представляет их для подписания председателю Комиссии и членам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6) участвует в рассмотрении ходатайств об установлении соответствующей причинно-следственной связи и документов, указанных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>в подпункте 1 пункта 2.2 настоящего Положения;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7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>) 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осуществляет </w:t>
      </w: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контроль за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исполнением решений, принятых Комиссией; 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8) решает текущие вопросы деятельности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9) участвует в голосовании по вопросам принятия решений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10)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> 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>подписывает протоколы, содержащие принятые решения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11) направляет подписанное соответствующее заключение в адрес Федерального агентства по делам молодежи, орган и организацию, индивидуальному предпринимателю не позднее третьего рабочего дня, следующего за днем проведения заседания Комиссии и подписания соответствующего заключения;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12) осуществляет иные полномочия по поручению председателя Комиссии, заместителя председателя Комиссии.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4.7. Члены Комиссии: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1) участвуют в заседаниях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2) участвуют в рассмотрении ходатайств об установлении соответствующей причинно-следственной связи и документов, указанных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>в подпункте 1 пункта 2.2 настоящего Положения;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3) участвуют в голосовании по вопросам принятия решений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4) подписывают протоколы, содержащие принятые решения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5) вправе представить в Комиссию в случае невозможности участия в заседании Комиссии письменное мнение </w:t>
      </w:r>
      <w:bookmarkStart w:id="3" w:name="_Hlk214264818"/>
      <w:r w:rsidRPr="00F0267D">
        <w:rPr>
          <w:rFonts w:ascii="Times New Roman" w:eastAsia="SimSun" w:hAnsi="Times New Roman"/>
          <w:sz w:val="28"/>
          <w:szCs w:val="28"/>
          <w:lang w:eastAsia="zh-CN"/>
        </w:rPr>
        <w:t>по вопросам повестки заседания Комиссии</w:t>
      </w:r>
      <w:bookmarkEnd w:id="3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в срок не позднее одного рабочего дня, предшествующего дате проведения заседания Комиссии.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4.8</w:t>
      </w:r>
      <w:r w:rsidR="000E1505">
        <w:rPr>
          <w:rFonts w:ascii="Times New Roman" w:eastAsia="SimSun" w:hAnsi="Times New Roman"/>
          <w:sz w:val="28"/>
          <w:szCs w:val="28"/>
          <w:lang w:val="ru" w:eastAsia="zh-CN"/>
        </w:rPr>
        <w:t>. 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Место нахождения Комиссии (место проведения заседаний Комиссии) – г. Рязань, ул. Ленина, д. 30.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val="ru"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4.9. 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Заседания Комиссии проводятся по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мере 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необходимости при поступлении в Комиссию ходатайств об установлении соответствующей причинно-следственной связи и документов, указанных в подпункте 1</w:t>
      </w:r>
      <w:r w:rsidR="000E1505">
        <w:rPr>
          <w:rFonts w:ascii="Times New Roman" w:eastAsia="SimSun" w:hAnsi="Times New Roman"/>
          <w:sz w:val="28"/>
          <w:szCs w:val="28"/>
          <w:lang w:val="ru" w:eastAsia="zh-CN"/>
        </w:rPr>
        <w:br/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пункта 2.2</w:t>
      </w:r>
      <w:r w:rsidR="000E1505">
        <w:rPr>
          <w:rFonts w:ascii="Times New Roman" w:eastAsia="SimSun" w:hAnsi="Times New Roman"/>
          <w:sz w:val="28"/>
          <w:szCs w:val="28"/>
          <w:lang w:val="ru" w:eastAsia="zh-CN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 xml:space="preserve">настоящего Положения. 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val="ru" w:eastAsia="zh-CN"/>
        </w:rPr>
        <w:t>4.10. 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>Заседание Комиссии считается правомочным, если на нем присутствует не менее 7 ее членов.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4.11. Срок рассмотрения Комиссией ходатайств об установлении соответствующей причинно-следственной связи и документов, указанных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 xml:space="preserve">в подпункте 1 пункта 2.2 настоящего Положения, не должен превышать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</w:r>
      <w:r w:rsidRPr="00F0267D">
        <w:rPr>
          <w:rFonts w:ascii="Times New Roman" w:eastAsia="SimSun" w:hAnsi="Times New Roman"/>
          <w:spacing w:val="-4"/>
          <w:sz w:val="28"/>
          <w:szCs w:val="28"/>
          <w:lang w:eastAsia="zh-CN"/>
        </w:rPr>
        <w:t xml:space="preserve">15 календарных дней </w:t>
      </w:r>
      <w:proofErr w:type="gramStart"/>
      <w:r w:rsidRPr="00F0267D">
        <w:rPr>
          <w:rFonts w:ascii="Times New Roman" w:eastAsia="SimSun" w:hAnsi="Times New Roman"/>
          <w:spacing w:val="-4"/>
          <w:sz w:val="28"/>
          <w:szCs w:val="28"/>
          <w:lang w:eastAsia="zh-CN"/>
        </w:rPr>
        <w:t>с даты регистрации</w:t>
      </w:r>
      <w:proofErr w:type="gramEnd"/>
      <w:r w:rsidRPr="00F0267D">
        <w:rPr>
          <w:rFonts w:ascii="Times New Roman" w:eastAsia="SimSun" w:hAnsi="Times New Roman"/>
          <w:spacing w:val="-4"/>
          <w:sz w:val="28"/>
          <w:szCs w:val="28"/>
          <w:lang w:eastAsia="zh-CN"/>
        </w:rPr>
        <w:t xml:space="preserve"> указанных ходатайств и документов.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4.12. Решения Комиссии принимаются простым большинством голосов присутствующих на заседании членов Комиссии путем открытого голосования. 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F0267D">
        <w:rPr>
          <w:rFonts w:ascii="Times New Roman" w:eastAsia="SimSun" w:hAnsi="Times New Roman"/>
          <w:sz w:val="28"/>
          <w:szCs w:val="28"/>
          <w:lang w:eastAsia="zh-CN"/>
        </w:rPr>
        <w:t>В случае представления в Комиссию отсутствующим членом Комиссии письменного мнения по вопросам повестки заседания Комиссии в соответствии с подпунктом</w:t>
      </w:r>
      <w:proofErr w:type="gramEnd"/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5 пункта 4.7 настоящего Положения решение Комиссии принимается с учетом указанного мнения.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4.13. Результаты рассмотрения Комиссией ходатайств об установлении соответствующей причинно-следственной связи и документов, указанных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br/>
        <w:t>в подпункте 1 пункта 2.2 настоящего Положения, оформляются в день проведения заседания: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1) протоколом, содержащим принятые решения Комиссии, который подписывается председателем Комиссии (заместителем председателя Комиссии при отсутствии председателя Комиссии) и всеми членами Комиссии;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F0267D">
        <w:rPr>
          <w:rFonts w:ascii="Times New Roman" w:eastAsia="SimSun" w:hAnsi="Times New Roman"/>
          <w:sz w:val="28"/>
          <w:szCs w:val="28"/>
          <w:lang w:eastAsia="zh-CN"/>
        </w:rPr>
        <w:t>2) соответствующим заключением, которое подписывается</w:t>
      </w:r>
      <w:r w:rsidR="000E150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>председателем Комиссии (заместителем председателя Комиссии при отсутствии председателя Комиссии).</w:t>
      </w:r>
    </w:p>
    <w:p w:rsidR="00F0267D" w:rsidRPr="00F0267D" w:rsidRDefault="00F0267D" w:rsidP="00F0267D">
      <w:pPr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0267D">
        <w:rPr>
          <w:rFonts w:ascii="Times New Roman" w:eastAsia="SimSun" w:hAnsi="Times New Roman"/>
          <w:spacing w:val="-4"/>
          <w:sz w:val="28"/>
          <w:szCs w:val="28"/>
          <w:lang w:eastAsia="zh-CN"/>
        </w:rPr>
        <w:t>4.14. Организационное, правовое и материально-техническое обеспечение</w:t>
      </w:r>
      <w:r w:rsidRPr="00F0267D">
        <w:rPr>
          <w:rFonts w:ascii="Times New Roman" w:eastAsia="SimSun" w:hAnsi="Times New Roman"/>
          <w:sz w:val="28"/>
          <w:szCs w:val="28"/>
          <w:lang w:eastAsia="zh-CN"/>
        </w:rPr>
        <w:t xml:space="preserve"> деятельности Комиссии осуществляется комитетом по делам молодежи Рязанской области.</w:t>
      </w:r>
    </w:p>
    <w:p w:rsidR="00F0267D" w:rsidRDefault="00F0267D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F0267D" w:rsidSect="00190FF9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57" w:rsidRDefault="001D6A57">
      <w:r>
        <w:separator/>
      </w:r>
    </w:p>
  </w:endnote>
  <w:endnote w:type="continuationSeparator" w:id="0">
    <w:p w:rsidR="001D6A57" w:rsidRDefault="001D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57" w:rsidRDefault="001D6A57">
      <w:r>
        <w:separator/>
      </w:r>
    </w:p>
  </w:footnote>
  <w:footnote w:type="continuationSeparator" w:id="0">
    <w:p w:rsidR="001D6A57" w:rsidRDefault="001D6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D2F81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B86239"/>
    <w:multiLevelType w:val="multilevel"/>
    <w:tmpl w:val="D152DA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150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6A57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267D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2F8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E1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E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ZR&amp;n=511687&amp;dst=100015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93818&amp;dst=100009" TargetMode="External"/><Relationship Id="rId17" Type="http://schemas.openxmlformats.org/officeDocument/2006/relationships/hyperlink" Target="https://login.consultant.ru/link/?req=doc&amp;base=RZR&amp;n=4903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9275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45336&amp;dst=100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2757&amp;dst=100013" TargetMode="External"/><Relationship Id="rId10" Type="http://schemas.openxmlformats.org/officeDocument/2006/relationships/hyperlink" Target="https://login.consultant.ru/link/?req=doc&amp;base=RZR&amp;n=28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ZR&amp;n=492764&amp;dst=10001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2025-11-25T07:44:00Z</dcterms:created>
  <dcterms:modified xsi:type="dcterms:W3CDTF">2025-11-26T11:15:00Z</dcterms:modified>
</cp:coreProperties>
</file>