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Приложение № 1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к постановлению главного управления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архитектуры и градостроительства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left="0" w:right="0" w:firstLine="5669"/>
        <w:spacing w:before="0" w:after="0" w:line="283" w:lineRule="atLeast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eastAsia="Times New Roman" w:cs="Times New Roman"/>
          <w:color w:val="auto"/>
        </w:rPr>
        <w:t xml:space="preserve">Рязанской области</w:t>
      </w:r>
      <w:r>
        <w:rPr>
          <w:rFonts w:ascii="Times New Roman" w:hAnsi="Times New Roman" w:cs="Times New Roman"/>
          <w:color w:val="auto"/>
        </w:rPr>
      </w:r>
      <w:r>
        <w:rPr>
          <w:rFonts w:ascii="Times New Roman" w:hAnsi="Times New Roman" w:cs="Times New Roman"/>
          <w:color w:val="auto"/>
        </w:rPr>
      </w:r>
    </w:p>
    <w:p>
      <w:pPr>
        <w:pStyle w:val="654"/>
        <w:ind w:firstLine="0"/>
        <w:spacing w:before="0" w:after="0" w:line="283" w:lineRule="atLeast"/>
        <w:rPr>
          <w:rFonts w:ascii="Times New Roman" w:hAnsi="Times New Roman" w:cs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                                                              </w:t>
      </w:r>
      <w:r>
        <w:rPr>
          <w:rFonts w:ascii="Times New Roman" w:hAnsi="Times New Roman" w:eastAsia="Times New Roman" w:cs="Times New Roman"/>
        </w:rPr>
        <w:t xml:space="preserve">от 28 ноября.2025 г.  № 103</w:t>
      </w:r>
      <w:r>
        <w:rPr>
          <w:rFonts w:ascii="Times New Roman" w:hAnsi="Times New Roman" w:eastAsia="Times New Roman" w:cs="Times New Roman"/>
        </w:rPr>
        <w:t xml:space="preserve">0</w:t>
      </w:r>
      <w:r>
        <w:rPr>
          <w:rFonts w:ascii="Times New Roman" w:hAnsi="Times New Roman" w:eastAsia="Times New Roman" w:cs="Times New Roman"/>
        </w:rPr>
        <w:t xml:space="preserve">-п</w:t>
      </w: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cs="Times New Roman"/>
        </w:rPr>
      </w:r>
    </w:p>
    <w:p>
      <w:pPr>
        <w:pStyle w:val="654"/>
        <w:numPr>
          <w:ilvl w:val="0"/>
          <w:numId w:val="0"/>
        </w:numPr>
        <w:ind w:left="-425" w:right="0" w:firstLine="425"/>
        <w:jc w:val="both"/>
        <w:spacing w:before="0" w:after="0"/>
        <w:widowControl/>
        <w:rPr>
          <w:rFonts w:ascii="Times New Roman" w:hAnsi="Times New Roman" w:cs="Times New Roman"/>
          <w:b/>
          <w:bCs/>
          <w:color w:val="auto"/>
          <w:sz w:val="28"/>
          <w:szCs w:val="28"/>
        </w:rPr>
        <w:outlineLvl w:val="0"/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3.1.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ИТ-1 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  <w:t xml:space="preserve">Зона объектов транспортной инфраструктуры.</w:t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numPr>
          <w:ilvl w:val="0"/>
          <w:numId w:val="0"/>
        </w:numPr>
        <w:ind w:left="-425" w:right="-141" w:firstLine="425"/>
        <w:jc w:val="both"/>
        <w:spacing w:before="0" w:after="0" w:line="240" w:lineRule="auto"/>
        <w:widowControl/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  <w:outlineLvl w:val="0"/>
      </w:pP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  <w:r>
        <w:rPr>
          <w:rFonts w:ascii="Times New Roman" w:hAnsi="Times New Roman" w:eastAsia="Times New Roman" w:cs="Times New Roman"/>
          <w:b/>
          <w:bCs/>
          <w:color w:val="auto"/>
          <w:sz w:val="28"/>
          <w:szCs w:val="28"/>
          <w:highlight w:val="none"/>
          <w:lang w:eastAsia="zh-CN" w:bidi="ar-SA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объектов транспортной инфраструктуры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 выделена для размещения объектов автомобильного транспорта, трубопроводного транспорта и объектов коммунального назначения.</w:t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  <w:r>
        <w:rPr>
          <w:rFonts w:ascii="Times New Roman" w:hAnsi="Times New Roman" w:cs="Times New Roman"/>
          <w:bCs/>
          <w:color w:val="auto"/>
          <w:sz w:val="28"/>
          <w:szCs w:val="28"/>
        </w:rPr>
      </w:r>
    </w:p>
    <w:p>
      <w:pPr>
        <w:pStyle w:val="654"/>
        <w:ind w:left="-425" w:right="-283" w:firstLine="425"/>
        <w:jc w:val="both"/>
        <w:spacing w:before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Виды разрешенного использования земельных участков и объектов капитального строительства в зоне 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ИТ-1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объектов 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 представлены в таблице 3.1.1.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89"/>
        <w:ind w:left="0" w:right="-283" w:firstLine="709"/>
        <w:jc w:val="right"/>
        <w:rPr>
          <w:rFonts w:cs="Times New Roman"/>
          <w:color w:val="auto"/>
          <w:szCs w:val="28"/>
        </w:rPr>
      </w:pPr>
      <w:r>
        <w:rPr>
          <w:rFonts w:eastAsia="NSimSun" w:cs="Times New Roman"/>
          <w:color w:val="auto"/>
          <w:szCs w:val="28"/>
          <w:lang w:eastAsia="zh-CN" w:bidi="ar-SA"/>
        </w:rPr>
        <w:t xml:space="preserve">         </w:t>
      </w:r>
      <w:r>
        <w:rPr>
          <w:rFonts w:eastAsia="NSimSun" w:cs="Times New Roman"/>
          <w:color w:val="auto"/>
          <w:szCs w:val="28"/>
          <w:lang w:eastAsia="zh-CN" w:bidi="ar-SA"/>
        </w:rPr>
        <w:t xml:space="preserve">Таблица 3.1.1</w:t>
      </w:r>
      <w:r>
        <w:rPr>
          <w:rFonts w:cs="Times New Roman"/>
          <w:color w:val="auto"/>
          <w:szCs w:val="28"/>
        </w:rPr>
      </w:r>
      <w:r>
        <w:rPr>
          <w:rFonts w:cs="Times New Roman"/>
          <w:color w:val="auto"/>
          <w:szCs w:val="28"/>
        </w:rPr>
      </w:r>
    </w:p>
    <w:tbl>
      <w:tblPr>
        <w:tblW w:w="10063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2811"/>
        <w:gridCol w:w="5409"/>
        <w:gridCol w:w="1843"/>
      </w:tblGrid>
      <w:tr>
        <w:tblPrEx/>
        <w:trPr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811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409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Наименование вида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center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 вида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restart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предоставление коммунальных услуг;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автомобильный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NSimSun" w:cs="Times New Roman"/>
                <w:color w:val="auto"/>
                <w:lang w:eastAsia="zh-CN" w:bidi="ar-SA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трубопроводный транспорт;</w:t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  <w:r>
              <w:rPr>
                <w:rFonts w:eastAsia="NSimSun" w:cs="Times New Roman"/>
                <w:color w:val="auto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vMerge w:val="continue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rFonts w:eastAsia="Times New Roman" w:cs="Times New Roman"/>
                <w:color w:val="auto"/>
              </w:rPr>
            </w:pPr>
            <w:r>
              <w:rPr>
                <w:rFonts w:eastAsia="NSimSun" w:cs="Times New Roman"/>
                <w:color w:val="auto"/>
                <w:lang w:eastAsia="zh-CN" w:bidi="ar-SA"/>
              </w:rPr>
              <w:t xml:space="preserve">земельные участки (территории) общего пользования</w:t>
            </w:r>
            <w:r>
              <w:rPr>
                <w:rFonts w:eastAsia="Times New Roman" w:cs="Times New Roman"/>
              </w:rPr>
              <w:t xml:space="preserve">.</w:t>
            </w:r>
            <w:r>
              <w:rPr>
                <w:rFonts w:eastAsia="Times New Roman" w:cs="Times New Roman"/>
                <w:color w:val="auto"/>
              </w:rPr>
            </w:r>
            <w:r>
              <w:rPr>
                <w:rFonts w:eastAsia="Times New Roman" w:cs="Times New Roman"/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Условно разрешенные виды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/>
        <w:tc>
          <w:tcPr>
            <w:tcBorders>
              <w:left w:val="single" w:color="000000" w:sz="4" w:space="0"/>
              <w:bottom w:val="single" w:color="000000" w:sz="4" w:space="0"/>
            </w:tcBorders>
            <w:tcW w:w="2811" w:type="dxa"/>
            <w:textDirection w:val="lrTb"/>
            <w:noWrap w:val="false"/>
          </w:tcPr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Вспомогательные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5409" w:type="dxa"/>
            <w:textDirection w:val="lrTb"/>
            <w:noWrap w:val="false"/>
          </w:tcPr>
          <w:p>
            <w:pPr>
              <w:pStyle w:val="716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не подлежат установлению.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</w:tbl>
    <w:p>
      <w:pPr>
        <w:pStyle w:val="654"/>
        <w:ind w:left="-425" w:right="-283" w:firstLine="425"/>
        <w:jc w:val="both"/>
        <w:spacing w:before="164" w:beforeAutospacing="0" w:after="0" w:line="240" w:lineRule="auto"/>
        <w:widowControl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Предельные размеры земельных участков, в том числе их площадь, и предельные параметры разрешенного строительства, реконструкции объектов капитального строительства в зоне 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«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ИТ-1 </w:t>
      </w:r>
      <w:r>
        <w:rPr>
          <w:rFonts w:ascii="Times New Roman" w:hAnsi="Times New Roman" w:eastAsia="Times New Roman" w:cs="Times New Roman"/>
          <w:bCs/>
          <w:color w:val="auto"/>
          <w:sz w:val="28"/>
          <w:szCs w:val="28"/>
          <w:lang w:eastAsia="zh-CN" w:bidi="ar-SA"/>
        </w:rPr>
        <w:t xml:space="preserve">Зона объектов транспортной инфраструктуры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»</w:t>
      </w:r>
      <w:r>
        <w:rPr>
          <w:rFonts w:ascii="Times New Roman" w:hAnsi="Times New Roman" w:eastAsia="Times New Roman" w:cs="Times New Roman"/>
          <w:color w:val="auto"/>
          <w:sz w:val="28"/>
          <w:szCs w:val="28"/>
          <w:lang w:eastAsia="zh-CN" w:bidi="ar-SA"/>
        </w:rPr>
        <w:t xml:space="preserve"> представлены в таблице в таблице 3.1.2.</w:t>
      </w:r>
      <w:r>
        <w:rPr>
          <w:rFonts w:ascii="Times New Roman" w:hAnsi="Times New Roman" w:cs="Times New Roman"/>
          <w:color w:val="auto"/>
          <w:sz w:val="28"/>
          <w:szCs w:val="28"/>
        </w:rPr>
      </w:r>
      <w:r>
        <w:rPr>
          <w:rFonts w:ascii="Times New Roman" w:hAnsi="Times New Roman" w:cs="Times New Roman"/>
          <w:color w:val="auto"/>
          <w:sz w:val="28"/>
          <w:szCs w:val="28"/>
        </w:rPr>
      </w:r>
    </w:p>
    <w:p>
      <w:pPr>
        <w:pStyle w:val="655"/>
        <w:contextualSpacing/>
        <w:ind w:left="0" w:right="-283" w:firstLine="709"/>
        <w:jc w:val="right"/>
        <w:spacing w:before="0" w:after="0"/>
        <w:rPr>
          <w:rFonts w:ascii="Times New Roman" w:hAnsi="Times New Roman" w:cs="Times New Roman"/>
          <w:b w:val="0"/>
          <w:color w:val="auto"/>
        </w:rPr>
      </w:pPr>
      <w:r>
        <w:rPr>
          <w:rFonts w:ascii="Times New Roman" w:hAnsi="Times New Roman" w:eastAsia="Times New Roman" w:cs="Times New Roman"/>
          <w:b w:val="0"/>
          <w:color w:val="auto"/>
          <w:sz w:val="28"/>
          <w:szCs w:val="28"/>
          <w:lang w:eastAsia="zh-CN" w:bidi="ar-SA"/>
        </w:rPr>
        <w:t xml:space="preserve">Таблица 3.1.2</w:t>
      </w:r>
      <w:r>
        <w:rPr>
          <w:rFonts w:ascii="Times New Roman" w:hAnsi="Times New Roman" w:cs="Times New Roman"/>
          <w:b w:val="0"/>
          <w:color w:val="auto"/>
        </w:rPr>
      </w:r>
      <w:r>
        <w:rPr>
          <w:rFonts w:ascii="Times New Roman" w:hAnsi="Times New Roman" w:cs="Times New Roman"/>
          <w:b w:val="0"/>
          <w:color w:val="auto"/>
        </w:rPr>
      </w:r>
    </w:p>
    <w:tbl>
      <w:tblPr>
        <w:tblW w:w="10380" w:type="dxa"/>
        <w:tblInd w:w="-415" w:type="dxa"/>
        <w:tblLayout w:type="fixed"/>
        <w:tblCellMar>
          <w:left w:w="5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877"/>
        <w:gridCol w:w="997"/>
        <w:gridCol w:w="1017"/>
        <w:gridCol w:w="964"/>
        <w:gridCol w:w="1079"/>
        <w:gridCol w:w="1590"/>
        <w:gridCol w:w="1924"/>
        <w:gridCol w:w="1589"/>
        <w:gridCol w:w="342"/>
      </w:tblGrid>
      <w:tr>
        <w:tblPrEx/>
        <w:trPr>
          <w:trHeight w:val="791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Код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вида раз-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решен-ного исполь-зования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1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color w:val="auto"/>
                <w:lang w:eastAsia="zh-CN" w:bidi="ar-SA"/>
              </w:rPr>
              <w:t xml:space="preserve">Размер </w:t>
            </w:r>
            <w:r>
              <w:rPr>
                <w:color w:val="auto"/>
              </w:rPr>
              <w:t xml:space="preserve">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  <w:r>
              <w:rPr>
                <w:color w:val="auto"/>
              </w:rPr>
              <w:t xml:space="preserve">участка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2043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Площадь земельного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участка (</w:t>
            </w:r>
            <w:r>
              <w:rPr>
                <w:rFonts w:eastAsia="Calibri" w:cs="Calibri"/>
                <w:color w:val="auto"/>
                <w:lang w:eastAsia="zh-CN" w:bidi="ar-SA"/>
              </w:rPr>
              <w:t xml:space="preserve">кв.м</w:t>
            </w:r>
            <w:r>
              <w:rPr>
                <w:color w:val="auto"/>
              </w:rPr>
              <w:t xml:space="preserve">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590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Минималь-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ный отступ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от границ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4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Предельное количество этажей/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предельная высота зданий, строений, сооружений (м)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Максималь-ный процент застройки</w:t>
              <w:br/>
              <w:t xml:space="preserve">в границах земельного участка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  <w:p>
            <w:pPr>
              <w:pStyle w:val="716"/>
              <w:ind w:left="-28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/>
                <w:lang w:eastAsia="zh-CN" w:bidi="ar-SA"/>
              </w:rPr>
              <w:t xml:space="preserve">(%)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restart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1153" w:hRule="exact"/>
          <w:tblHeader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9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017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Мин.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  <w:t xml:space="preserve">Макс.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Merge w:val="continue"/>
            <w:textDirection w:val="lrTb"/>
            <w:noWrap w:val="false"/>
          </w:tcPr>
          <w:p>
            <w:pPr>
              <w:pStyle w:val="654"/>
              <w:spacing w:before="0" w:after="20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gridSpan w:val="8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003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Основные виды разрешенного использования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rPr>
                <w:color w:val="auto"/>
              </w:rPr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3.1.1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0" w:name="undefined_Copy_1"/>
            <w:r/>
            <w:bookmarkEnd w:id="0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7.2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1" w:name="undefined"/>
            <w:r/>
            <w:bookmarkEnd w:id="1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</w:pPr>
            <w:r>
              <w:t xml:space="preserve">7.5</w:t>
            </w:r>
            <w:r/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bookmarkStart w:id="2" w:name="undefined_Copy_1"/>
            <w:r/>
            <w:bookmarkEnd w:id="2"/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  <w:tr>
        <w:tblPrEx/>
        <w:trPr>
          <w:trHeight w:val="283" w:hRule="exact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87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color w:val="auto"/>
              </w:rPr>
            </w:pPr>
            <w:r>
              <w:t xml:space="preserve">12.0</w:t>
            </w:r>
            <w:r>
              <w:rPr>
                <w:color w:val="auto"/>
              </w:rPr>
            </w:r>
            <w:r>
              <w:rPr>
                <w:color w:val="auto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9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17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96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07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590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</w:tcBorders>
            <w:tcW w:w="1924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89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  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НПУ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  <w:tc>
          <w:tcPr>
            <w:tcW w:w="342" w:type="dxa"/>
            <w:vAlign w:val="center"/>
            <w:textDirection w:val="lrTb"/>
            <w:noWrap w:val="false"/>
          </w:tcPr>
          <w:p>
            <w:pPr>
              <w:pStyle w:val="716"/>
              <w:ind w:left="0" w:right="0" w:firstLine="0"/>
              <w:jc w:val="center"/>
              <w:spacing w:before="0" w:after="0"/>
              <w:widowControl w:val="off"/>
              <w:rPr>
                <w:rFonts w:eastAsia="Calibri" w:cs="Calibri"/>
                <w:color w:val="auto"/>
                <w:szCs w:val="22"/>
                <w:lang w:eastAsia="zh-CN" w:bidi="ar-SA"/>
              </w:rPr>
            </w:pPr>
            <w:r>
              <w:rPr>
                <w:rFonts w:eastAsia="Calibri" w:cs="Calibri"/>
                <w:color w:val="auto"/>
                <w:szCs w:val="22"/>
                <w:lang w:eastAsia="zh-CN" w:bidi="ar-SA"/>
              </w:rPr>
              <w:t xml:space="preserve">».</w:t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  <w:r>
              <w:rPr>
                <w:rFonts w:eastAsia="Calibri" w:cs="Calibri"/>
                <w:color w:val="auto"/>
                <w:szCs w:val="22"/>
                <w:lang w:eastAsia="zh-CN" w:bidi="ar-SA"/>
              </w:rPr>
            </w:r>
          </w:p>
        </w:tc>
      </w:tr>
    </w:tbl>
    <w:p>
      <w:pPr>
        <w:pStyle w:val="654"/>
        <w:ind w:firstLine="5954"/>
        <w:spacing w:before="0" w:after="0" w:line="283" w:lineRule="atLeast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  <w:r>
        <w:rPr>
          <w:rFonts w:eastAsia="Times New Roman" w:cs="Times New Roman"/>
          <w:color w:val="auto"/>
        </w:rPr>
      </w:r>
    </w:p>
    <w:sectPr>
      <w:footnotePr/>
      <w:endnotePr/>
      <w:type w:val="nextPage"/>
      <w:pgSz w:w="11906" w:h="16838" w:orient="portrait"/>
      <w:pgMar w:top="709" w:right="850" w:bottom="822" w:left="1701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Liberation Serif">
    <w:panose1 w:val="02020603050405020304"/>
  </w:font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NSimSun">
    <w:panose1 w:val="02010609030101010101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655">
    <w:name w:val="Heading 1"/>
    <w:basedOn w:val="654"/>
    <w:next w:val="654"/>
    <w:link w:val="66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next w:val="654"/>
    <w:link w:val="66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next w:val="654"/>
    <w:link w:val="66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next w:val="654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next w:val="654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next w:val="65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next w:val="654"/>
    <w:link w:val="67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next w:val="654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next w:val="654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link w:val="695"/>
    <w:uiPriority w:val="29"/>
    <w:qFormat/>
    <w:rPr>
      <w:i/>
    </w:rPr>
  </w:style>
  <w:style w:type="character" w:styleId="676">
    <w:name w:val="Intense Quote Char"/>
    <w:link w:val="696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35"/>
    <w:qFormat/>
    <w:rPr>
      <w:b/>
      <w:bCs/>
      <w:color w:val="4f81bd" w:themeColor="accent1"/>
      <w:sz w:val="18"/>
      <w:szCs w:val="18"/>
    </w:rPr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 w:default="1">
    <w:name w:val="Default Paragraph Font"/>
    <w:uiPriority w:val="1"/>
    <w:semiHidden/>
    <w:unhideWhenUsed/>
    <w:qFormat/>
  </w:style>
  <w:style w:type="paragraph" w:styleId="688">
    <w:name w:val="Заголовок"/>
    <w:basedOn w:val="654"/>
    <w:next w:val="68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689" w:customStyle="1">
    <w:name w:val="Body Text"/>
    <w:pPr>
      <w:ind w:left="0" w:right="0" w:firstLine="709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8"/>
      <w:szCs w:val="24"/>
      <w:u w:val="none"/>
      <w:vertAlign w:val="baseline"/>
      <w:lang w:val="ru-RU" w:eastAsia="ru-RU" w:bidi="hi-IN"/>
      <w14:ligatures w14:val="none"/>
    </w:rPr>
  </w:style>
  <w:style w:type="paragraph" w:styleId="690">
    <w:name w:val="List"/>
    <w:basedOn w:val="689"/>
    <w:rPr>
      <w:rFonts w:cs="Arial"/>
    </w:rPr>
  </w:style>
  <w:style w:type="paragraph" w:styleId="691">
    <w:name w:val="Caption"/>
    <w:basedOn w:val="654"/>
    <w:next w:val="654"/>
    <w:link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692">
    <w:name w:val="Указатель"/>
    <w:basedOn w:val="654"/>
    <w:qFormat/>
    <w:pPr>
      <w:suppressLineNumbers/>
    </w:pPr>
    <w:rPr>
      <w:rFonts w:cs="Arial"/>
    </w:rPr>
  </w:style>
  <w:style w:type="paragraph" w:styleId="693">
    <w:name w:val="Title"/>
    <w:basedOn w:val="654"/>
    <w:next w:val="654"/>
    <w:link w:val="673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694">
    <w:name w:val="Subtitle"/>
    <w:basedOn w:val="654"/>
    <w:next w:val="654"/>
    <w:link w:val="674"/>
    <w:uiPriority w:val="11"/>
    <w:qFormat/>
    <w:pPr>
      <w:spacing w:before="200" w:after="200"/>
    </w:pPr>
    <w:rPr>
      <w:sz w:val="24"/>
      <w:szCs w:val="24"/>
    </w:rPr>
  </w:style>
  <w:style w:type="paragraph" w:styleId="695">
    <w:name w:val="Quote"/>
    <w:basedOn w:val="654"/>
    <w:next w:val="654"/>
    <w:link w:val="675"/>
    <w:uiPriority w:val="29"/>
    <w:qFormat/>
    <w:pPr>
      <w:ind w:left="720" w:right="720" w:firstLine="0"/>
    </w:pPr>
    <w:rPr>
      <w:i/>
    </w:rPr>
  </w:style>
  <w:style w:type="paragraph" w:styleId="696">
    <w:name w:val="Intense Quote"/>
    <w:basedOn w:val="654"/>
    <w:next w:val="654"/>
    <w:link w:val="676"/>
    <w:uiPriority w:val="30"/>
    <w:qFormat/>
    <w:pPr>
      <w:ind w:left="720" w:right="720" w:firstLine="0"/>
      <w:spacing w:before="0" w:after="20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697">
    <w:name w:val="Колонтитул"/>
    <w:basedOn w:val="654"/>
    <w:qFormat/>
  </w:style>
  <w:style w:type="paragraph" w:styleId="698">
    <w:name w:val="Header"/>
    <w:basedOn w:val="654"/>
    <w:link w:val="677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699">
    <w:name w:val="Footer"/>
    <w:basedOn w:val="654"/>
    <w:link w:val="678"/>
    <w:uiPriority w:val="99"/>
    <w:unhideWhenUsed/>
    <w:pPr>
      <w:spacing w:before="0" w:after="0" w:line="240" w:lineRule="auto"/>
      <w:tabs>
        <w:tab w:val="clear" w:pos="708" w:leader="none"/>
        <w:tab w:val="center" w:pos="7143" w:leader="none"/>
        <w:tab w:val="right" w:pos="14287" w:leader="none"/>
      </w:tabs>
    </w:pPr>
  </w:style>
  <w:style w:type="paragraph" w:styleId="700">
    <w:name w:val="footnote text"/>
    <w:basedOn w:val="654"/>
    <w:link w:val="681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01">
    <w:name w:val="endnote text"/>
    <w:basedOn w:val="654"/>
    <w:link w:val="68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02">
    <w:name w:val="toc 1"/>
    <w:basedOn w:val="654"/>
    <w:next w:val="654"/>
    <w:uiPriority w:val="39"/>
    <w:unhideWhenUsed/>
    <w:pPr>
      <w:ind w:left="0" w:right="0" w:firstLine="0"/>
      <w:spacing w:before="0" w:after="57"/>
    </w:pPr>
  </w:style>
  <w:style w:type="paragraph" w:styleId="703">
    <w:name w:val="toc 2"/>
    <w:basedOn w:val="654"/>
    <w:next w:val="654"/>
    <w:uiPriority w:val="39"/>
    <w:unhideWhenUsed/>
    <w:pPr>
      <w:ind w:left="283" w:right="0" w:firstLine="0"/>
      <w:spacing w:before="0" w:after="57"/>
    </w:pPr>
  </w:style>
  <w:style w:type="paragraph" w:styleId="704">
    <w:name w:val="toc 3"/>
    <w:basedOn w:val="654"/>
    <w:next w:val="654"/>
    <w:uiPriority w:val="39"/>
    <w:unhideWhenUsed/>
    <w:pPr>
      <w:ind w:left="567" w:right="0" w:firstLine="0"/>
      <w:spacing w:before="0" w:after="57"/>
    </w:pPr>
  </w:style>
  <w:style w:type="paragraph" w:styleId="705">
    <w:name w:val="toc 4"/>
    <w:basedOn w:val="654"/>
    <w:next w:val="654"/>
    <w:uiPriority w:val="39"/>
    <w:unhideWhenUsed/>
    <w:pPr>
      <w:ind w:left="850" w:right="0" w:firstLine="0"/>
      <w:spacing w:before="0" w:after="57"/>
    </w:pPr>
  </w:style>
  <w:style w:type="paragraph" w:styleId="70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0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0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0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1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11">
    <w:name w:val="Index Heading"/>
    <w:basedOn w:val="688"/>
  </w:style>
  <w:style w:type="paragraph" w:styleId="712">
    <w:name w:val="TOC Heading"/>
    <w:uiPriority w:val="39"/>
    <w:unhideWhenUsed/>
    <w:pPr>
      <w:jc w:val="left"/>
      <w:spacing w:before="0" w:beforeAutospacing="0" w:after="200" w:afterAutospacing="0" w:line="276" w:lineRule="auto"/>
      <w:widowControl/>
    </w:pPr>
    <w:rPr>
      <w:rFonts w:ascii="Arial" w:hAnsi="Arial" w:eastAsia="Arial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13">
    <w:name w:val="table of figures"/>
    <w:basedOn w:val="654"/>
    <w:next w:val="654"/>
    <w:uiPriority w:val="99"/>
    <w:unhideWhenUsed/>
    <w:qFormat/>
    <w:pPr>
      <w:spacing w:before="0" w:after="0" w:afterAutospacing="0"/>
    </w:pPr>
  </w:style>
  <w:style w:type="paragraph" w:styleId="714">
    <w:name w:val="No Spacing"/>
    <w:basedOn w:val="654"/>
    <w:uiPriority w:val="1"/>
    <w:qFormat/>
    <w:pPr>
      <w:spacing w:before="0" w:after="0" w:line="240" w:lineRule="auto"/>
    </w:pPr>
  </w:style>
  <w:style w:type="paragraph" w:styleId="715">
    <w:name w:val="List Paragraph"/>
    <w:basedOn w:val="654"/>
    <w:uiPriority w:val="34"/>
    <w:qFormat/>
    <w:pPr>
      <w:contextualSpacing/>
      <w:ind w:left="720" w:firstLine="0"/>
      <w:spacing w:before="0" w:after="200"/>
    </w:pPr>
  </w:style>
  <w:style w:type="paragraph" w:styleId="716" w:customStyle="1">
    <w:name w:val="Содержимое таблицы"/>
    <w:qFormat/>
    <w:pPr>
      <w:ind w:left="28" w:right="0" w:firstLine="0"/>
      <w:jc w:val="left"/>
      <w:keepLines w:val="0"/>
      <w:keepNext w:val="0"/>
      <w:pageBreakBefore w:val="0"/>
      <w:spacing w:before="100" w:beforeAutospacing="0" w:after="100" w:afterAutospacing="0" w:line="240" w:lineRule="auto"/>
      <w:shd w:val="nil"/>
      <w:widowControl w:val="off"/>
      <w:suppressLineNumbers/>
    </w:pPr>
    <w:rPr>
      <w:rFonts w:ascii="Times New Roman" w:hAnsi="Times New Roman" w:eastAsia="Tahoma" w:cs="Liberation Serif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u w:val="none"/>
      <w:vertAlign w:val="baseline"/>
      <w:lang w:val="ru-RU" w:eastAsia="ru-RU" w:bidi="hi-IN"/>
      <w14:ligatures w14:val="none"/>
    </w:rPr>
  </w:style>
  <w:style w:type="paragraph" w:styleId="717" w:customStyle="1">
    <w:name w:val="Обычная таблица1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Liberation Serif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ar-SA" w:bidi="hi-IN"/>
      <w14:ligatures w14:val="none"/>
    </w:rPr>
  </w:style>
  <w:style w:type="paragraph" w:styleId="718">
    <w:name w:val="Заголовок таблицы"/>
    <w:basedOn w:val="716"/>
    <w:qFormat/>
    <w:pPr>
      <w:jc w:val="center"/>
      <w:suppressLineNumbers/>
    </w:pPr>
    <w:rPr>
      <w:b/>
      <w:bCs/>
    </w:rPr>
  </w:style>
  <w:style w:type="numbering" w:styleId="719" w:default="1">
    <w:name w:val="No List"/>
    <w:uiPriority w:val="99"/>
    <w:semiHidden/>
    <w:unhideWhenUsed/>
    <w:qFormat/>
  </w:style>
  <w:style w:type="table" w:styleId="720">
    <w:name w:val="Table Grid"/>
    <w:basedOn w:val="846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basedOn w:val="846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3">
    <w:name w:val="Plain Table 2"/>
    <w:basedOn w:val="84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24">
    <w:name w:val="Plain Table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debf6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febf6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750">
    <w:name w:val="Grid Table 4 - Accent 2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751">
    <w:name w:val="Grid Table 4 - Accent 3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752">
    <w:name w:val="Grid Table 4 - Accent 4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753">
    <w:name w:val="Grid Table 4 - Accent 5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basedOn w:val="84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5b9bd5" w:themeFill="accent1"/>
      </w:tc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ffffff"/>
        <w:sz w:val="22"/>
      </w:rPr>
      <w:tcPr>
        <w:shd w:val="clear" w:color="ffffff" w:fill="5b9bd5" w:themeFill="accent1"/>
      </w:tcPr>
    </w:tblStylePr>
    <w:tblStylePr w:type="lastRow">
      <w:rPr>
        <w:b/>
        <w:color w:val="ffffff"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ed7d31" w:themeFill="accent2"/>
      </w:tc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a5a5a5" w:themeFill="accent3"/>
      </w:tc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ffc000" w:themeFill="accent4"/>
      </w:tc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472c4" w:themeFill="accent5"/>
      </w:tc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ffffff"/>
        <w:sz w:val="22"/>
      </w:rPr>
      <w:tcPr>
        <w:shd w:val="clear" w:color="ffffff" w:fill="4472c4" w:themeFill="accent5"/>
      </w:tcPr>
    </w:tblStylePr>
    <w:tblStylePr w:type="lastRow">
      <w:rPr>
        <w:b/>
        <w:color w:val="ffffff"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70ad47" w:themeFill="accent6"/>
      </w:tc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63">
    <w:name w:val="Grid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64">
    <w:name w:val="Grid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65">
    <w:name w:val="Grid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66">
    <w:name w:val="Grid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67">
    <w:name w:val="Grid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8">
    <w:name w:val="Grid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69">
    <w:name w:val="Grid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basedOn w:val="84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784">
    <w:name w:val="List Table 2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785">
    <w:name w:val="List Table 2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786">
    <w:name w:val="List Table 2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787">
    <w:name w:val="List Table 2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788">
    <w:name w:val="List Table 2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789">
    <w:name w:val="List Table 2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790">
    <w:name w:val="List Table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5e6f4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adecb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8e8e8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ffefbf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cfdc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dbebd0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5">
    <w:name w:val="List Table 5 Dark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6">
    <w:name w:val="List Table 5 Dark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7">
    <w:name w:val="List Table 5 Dark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8">
    <w:name w:val="List Table 5 Dark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09">
    <w:name w:val="List Table 5 Dark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0">
    <w:name w:val="List Table 5 Dark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11">
    <w:name w:val="List Table 6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12">
    <w:name w:val="List Table 6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14">
    <w:name w:val="List Table 6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15">
    <w:name w:val="List Table 6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16">
    <w:name w:val="List Table 6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17">
    <w:name w:val="List Table 6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18">
    <w:name w:val="List Table 7 Colorful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19">
    <w:name w:val="List Table 7 Colorful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820">
    <w:name w:val="List Table 7 Colorful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21">
    <w:name w:val="List Table 7 Colorful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822">
    <w:name w:val="List Table 7 Colorful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23">
    <w:name w:val="List Table 7 Colorful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824">
    <w:name w:val="List Table 7 Colorful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825">
    <w:name w:val="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26">
    <w:name w:val="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27">
    <w:name w:val="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28">
    <w:name w:val="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29">
    <w:name w:val="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0">
    <w:name w:val="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1">
    <w:name w:val="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2">
    <w:name w:val="Bordered &amp; Lined - Accent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33">
    <w:name w:val="Bordered &amp; Lined - Accent 1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ce0f1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ce0f1" w:themeFill="accent1" w:themeFillTint="50"/>
      </w:tcPr>
    </w:tblStylePr>
    <w:tblStylePr w:type="fir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firstRow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Col">
      <w:rPr>
        <w:color w:val="f2f2f2"/>
        <w:sz w:val="22"/>
      </w:rPr>
      <w:tcPr>
        <w:shd w:val="clear" w:color="ffffff" w:fill="67a4d8" w:themeFill="accent1" w:themeFillTint="EA"/>
      </w:tcPr>
    </w:tblStylePr>
    <w:tblStylePr w:type="lastRow">
      <w:rPr>
        <w:color w:val="f2f2f2"/>
        <w:sz w:val="22"/>
      </w:rPr>
      <w:tcPr>
        <w:shd w:val="clear" w:color="ffffff" w:fill="67a4d8" w:themeFill="accent1" w:themeFillTint="EA"/>
      </w:tcPr>
    </w:tblStylePr>
  </w:style>
  <w:style w:type="table" w:styleId="834">
    <w:name w:val="Bordered &amp; Lined - Accent 2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be5d6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be5d6" w:themeFill="accent2" w:themeFillTint="32"/>
      </w:tcPr>
    </w:tblStylePr>
    <w:tblStylePr w:type="fir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firstRow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Col">
      <w:rPr>
        <w:color w:val="f2f2f2"/>
        <w:sz w:val="22"/>
      </w:rPr>
      <w:tcPr>
        <w:shd w:val="clear" w:color="ffffff" w:fill="f4b185" w:themeFill="accent2" w:themeFillTint="97"/>
      </w:tcPr>
    </w:tblStylePr>
    <w:tblStylePr w:type="lastRow">
      <w:rPr>
        <w:color w:val="f2f2f2"/>
        <w:sz w:val="22"/>
      </w:rPr>
      <w:tcPr>
        <w:shd w:val="clear" w:color="ffffff" w:fill="f4b185" w:themeFill="accent2" w:themeFillTint="97"/>
      </w:tcPr>
    </w:tblStylePr>
  </w:style>
  <w:style w:type="table" w:styleId="835">
    <w:name w:val="Bordered &amp; Lined - Accent 3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dede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dede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firstRow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cPr>
        <w:shd w:val="clear" w:color="ffffff" w:fill="a5a5a5" w:themeFill="accent3" w:themeFillTint="FE"/>
      </w:tcPr>
    </w:tblStylePr>
  </w:style>
  <w:style w:type="table" w:styleId="836">
    <w:name w:val="Bordered &amp; Lined - Accent 4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ef2cb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fef2cb" w:themeFill="accent4" w:themeFillTint="34"/>
      </w:tcPr>
    </w:tblStylePr>
    <w:tblStylePr w:type="fir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firstRow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Col">
      <w:rPr>
        <w:color w:val="f2f2f2"/>
        <w:sz w:val="22"/>
      </w:rPr>
      <w:tcPr>
        <w:shd w:val="clear" w:color="ffffff" w:fill="ffd864" w:themeFill="accent4" w:themeFillTint="9A"/>
      </w:tcPr>
    </w:tblStylePr>
    <w:tblStylePr w:type="lastRow">
      <w:rPr>
        <w:color w:val="f2f2f2"/>
        <w:sz w:val="22"/>
      </w:rPr>
      <w:tcPr>
        <w:shd w:val="clear" w:color="ffffff" w:fill="ffd864" w:themeFill="accent4" w:themeFillTint="9A"/>
      </w:tcPr>
    </w:tblStylePr>
  </w:style>
  <w:style w:type="table" w:styleId="837">
    <w:name w:val="Bordered &amp; Lined - Accent 5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9e2f2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9e2f2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472c4" w:themeFill="accent5"/>
      </w:tcPr>
    </w:tblStylePr>
    <w:tblStylePr w:type="firstRow">
      <w:rPr>
        <w:color w:val="f2f2f2"/>
        <w:sz w:val="22"/>
      </w:rPr>
      <w:tcPr>
        <w:shd w:val="clear" w:color="ffffff" w:fill="4472c4" w:themeFill="accent5"/>
      </w:tcPr>
    </w:tblStylePr>
    <w:tblStylePr w:type="lastCol">
      <w:rPr>
        <w:color w:val="f2f2f2"/>
        <w:sz w:val="22"/>
      </w:rPr>
      <w:tcPr>
        <w:shd w:val="clear" w:color="ffffff" w:fill="4472c4" w:themeFill="accent5"/>
      </w:tcPr>
    </w:tblStylePr>
    <w:tblStylePr w:type="lastRow">
      <w:rPr>
        <w:color w:val="f2f2f2"/>
        <w:sz w:val="22"/>
      </w:rPr>
      <w:tcPr>
        <w:shd w:val="clear" w:color="ffffff" w:fill="4472c4" w:themeFill="accent5"/>
      </w:tcPr>
    </w:tblStylePr>
  </w:style>
  <w:style w:type="table" w:styleId="838">
    <w:name w:val="Bordered &amp; Lined - Accent 6"/>
    <w:basedOn w:val="84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2ef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e2ef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70ad47" w:themeFill="accent6"/>
      </w:tcPr>
    </w:tblStylePr>
    <w:tblStylePr w:type="firstRow">
      <w:rPr>
        <w:color w:val="f2f2f2"/>
        <w:sz w:val="22"/>
      </w:rPr>
      <w:tcPr>
        <w:shd w:val="clear" w:color="ffffff" w:fill="70ad47" w:themeFill="accent6"/>
      </w:tcPr>
    </w:tblStylePr>
    <w:tblStylePr w:type="lastCol">
      <w:rPr>
        <w:color w:val="f2f2f2"/>
        <w:sz w:val="22"/>
      </w:rPr>
      <w:tcPr>
        <w:shd w:val="clear" w:color="ffffff" w:fill="70ad47" w:themeFill="accent6"/>
      </w:tcPr>
    </w:tblStylePr>
    <w:tblStylePr w:type="lastRow">
      <w:rPr>
        <w:color w:val="f2f2f2"/>
        <w:sz w:val="22"/>
      </w:rPr>
      <w:tcPr>
        <w:shd w:val="clear" w:color="ffffff" w:fill="70ad47" w:themeFill="accent6"/>
      </w:tcPr>
    </w:tblStylePr>
  </w:style>
  <w:style w:type="table" w:styleId="839">
    <w:name w:val="Bordered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40">
    <w:name w:val="Bordered - Accent 1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842">
    <w:name w:val="Bordered - Accent 3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843">
    <w:name w:val="Bordered - Accent 4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844">
    <w:name w:val="Bordered - Accent 5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845">
    <w:name w:val="Bordered - Accent 6"/>
    <w:basedOn w:val="84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846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КонсультантПлюс Версия 4025.00.30</Company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муниципального образования - Сараевский муниципальный район Рязанской области от 26.01.2017 N 447(ред. от 08.07.2025)"Об утверждении Правил землепользования и застройки муниципального образования - Высоковское сельское поселение Сараевского муниципального района Рязанской области"</dc:title>
  <dc:subject/>
  <dc:creator/>
  <dc:description/>
  <dc:language>ru-RU</dc:language>
  <cp:lastModifiedBy>div</cp:lastModifiedBy>
  <cp:revision>15</cp:revision>
  <dcterms:created xsi:type="dcterms:W3CDTF">2025-11-06T16:12:00Z</dcterms:created>
  <dcterms:modified xsi:type="dcterms:W3CDTF">2025-12-02T07:59:41Z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