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1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28 ноября.2025 г.  № 1032-п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highlight w:val="none"/>
          <w:shd w:val="clear" w:color="auto" w:fill="auto"/>
        </w:rPr>
        <w:outlineLvl w:val="0"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3.1.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ИТ-2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eastAsia="zh-CN" w:bidi="ar-SA"/>
        </w:rPr>
        <w:t xml:space="preserve">Зона объектов инженерной инфраструктуры.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numPr>
          <w:ilvl w:val="0"/>
          <w:numId w:val="0"/>
        </w:numPr>
        <w:ind w:left="-397" w:right="-113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397" w:right="-113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Зона объектов инженерной инфраструктуры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 предназначена для размещения объектов коммунального обслуживания, связанных с обеспечением энергоснабжения, теплоснабжения, газоснабжения, водоснабжения, водоотведения, очисткой стоков, связи.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contextualSpacing/>
        <w:ind w:left="-397" w:right="-227" w:firstLine="567"/>
        <w:jc w:val="both"/>
        <w:keepNext/>
        <w:spacing w:before="0" w:beforeAutospacing="0" w:after="198" w:afterAutospacing="0" w:line="240" w:lineRule="auto"/>
        <w:widowControl/>
      </w:pP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ИТ-2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Зона объектов инженерной инфраструктуры» представлены в таблице 3.1.1.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       </w:t>
      </w:r>
      <w:r/>
    </w:p>
    <w:p>
      <w:pPr>
        <w:pStyle w:val="654"/>
        <w:contextualSpacing/>
        <w:ind w:left="-397" w:right="-227" w:firstLine="567"/>
        <w:jc w:val="right"/>
        <w:keepNext/>
        <w:spacing w:before="0" w:beforeAutospacing="0" w:after="198" w:afterAutospacing="0" w:line="240" w:lineRule="auto"/>
        <w:widowControl/>
      </w:pP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NSimSun" w:cs="Times New Roman"/>
          <w:color w:val="auto"/>
          <w:sz w:val="28"/>
          <w:szCs w:val="28"/>
          <w:lang w:eastAsia="zh-CN" w:bidi="ar-SA"/>
        </w:rPr>
        <w:t xml:space="preserve">Таблица 3.1.1</w:t>
      </w:r>
      <w:r/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1"/>
        <w:gridCol w:w="5409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Вид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Наименование вида</w:t>
            </w:r>
            <w:r/>
          </w:p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t xml:space="preserve">Код вида разрешенного использования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предоставление коммунальных услуг;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t xml:space="preserve">3.1.1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</w:rP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энергетика;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6.7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связь;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6.8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трубопроводный транспорт;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rFonts w:eastAsia="Times New Roman" w:cs="Times New Roman"/>
                <w:color w:val="auto"/>
              </w:rPr>
              <w:t xml:space="preserve">гидротехнические сооружения.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11.3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Вспомогательные</w:t>
            </w:r>
            <w:r/>
          </w:p>
          <w:p>
            <w:pPr>
              <w:pStyle w:val="716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виды разрешенного использования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не подлежат установлению.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keepNext/>
              <w:spacing w:before="0" w:after="0"/>
              <w:widowControl w:val="off"/>
            </w:pPr>
            <w:r>
              <w:rPr>
                <w:color w:val="auto"/>
              </w:rPr>
              <w:t xml:space="preserve">-</w:t>
            </w:r>
            <w:r/>
          </w:p>
        </w:tc>
      </w:tr>
    </w:tbl>
    <w:p>
      <w:pPr>
        <w:pStyle w:val="654"/>
        <w:ind w:left="-425" w:right="-283" w:firstLine="425"/>
        <w:jc w:val="both"/>
        <w:keepNext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«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ИТ-2 </w:t>
      </w:r>
      <w:r>
        <w:rPr>
          <w:rFonts w:ascii="Times New Roman" w:hAnsi="Times New Roman"/>
          <w:b w:val="0"/>
          <w:i w:val="0"/>
          <w:strike w:val="0"/>
          <w:sz w:val="28"/>
          <w:szCs w:val="28"/>
          <w:u w:val="none"/>
        </w:rPr>
        <w:t xml:space="preserve">Зона объектов инженерной инфраструктуры»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 таблице в таблице 3.1.2.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3.1.2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7"/>
        <w:gridCol w:w="964"/>
        <w:gridCol w:w="1079"/>
        <w:gridCol w:w="1590"/>
        <w:gridCol w:w="1924"/>
        <w:gridCol w:w="1589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4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ind w:firstLine="0"/>
        <w:spacing w:before="0" w:after="0" w:line="283" w:lineRule="atLeast"/>
      </w:pPr>
      <w:r/>
      <w:r/>
    </w:p>
    <w:sectPr>
      <w:footnotePr/>
      <w:endnotePr/>
      <w:type w:val="nextPage"/>
      <w:pgSz w:w="11906" w:h="16838" w:orient="portrait"/>
      <w:pgMar w:top="709" w:right="80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30.10.2025 N 944-п"Об утверждении правил землепользования и застройки муниципального образования - Касимовский муниципальный округ Рязанской области применительно к территориям р.п. Гусь-Железный, п. Красная Нива, с. Лався, д. Чаур, д. Чуликса с прилегающей территорией в кадастровых кварталах 62:04:2210101, 62:04:2210102, 62:04:2210105, 62:04:2240101, 62:04:2240201, 62:04:0490101, за исключением территории, расположенной в границах Погостинского, Гиблицког</dc:title>
  <dc:subject/>
  <dc:creator/>
  <dc:description/>
  <dc:language>ru-RU</dc:language>
  <cp:lastModifiedBy>div</cp:lastModifiedBy>
  <cp:revision>13</cp:revision>
  <dcterms:created xsi:type="dcterms:W3CDTF">2025-11-07T10:57:00Z</dcterms:created>
  <dcterms:modified xsi:type="dcterms:W3CDTF">2025-12-02T06:17:37Z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