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auto"/>
        </w:rPr>
        <w:t xml:space="preserve">2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contextualSpacing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28 ноября.2025 г.  № 1032-п</w:t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contextualSpacing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zh-CN" w:bidi="ar-SA"/>
        </w:rPr>
        <w:t xml:space="preserve">5.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u w:val="none"/>
          <w:lang w:val="ru-RU" w:eastAsia="zh-CN" w:bidi="ar-SA"/>
        </w:rPr>
        <w:t xml:space="preserve">СХ-3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u w:val="none"/>
          <w:lang w:val="ru-RU" w:eastAsia="zh-CN" w:bidi="ar-SA"/>
        </w:rPr>
        <w:t xml:space="preserve">Зона сельскохозяйственного использования за границами населенного пункта.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contextualSpacing/>
        <w:ind w:left="-397" w:right="0" w:firstLine="680"/>
        <w:jc w:val="both"/>
        <w:spacing w:before="0" w:beforeAutospacing="0" w:after="198" w:afterAutospacing="0" w:line="240" w:lineRule="auto"/>
        <w:widowControl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Зона сельскохозяйственного использования за границами населенного пункта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 предназначена для существующих сельскохозяйственных предприятий, для которых необходима организация санитарно-защитной зоны в соответствии с требованиями технических регламентов.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4"/>
        <w:contextualSpacing/>
        <w:ind w:left="-397" w:right="0" w:firstLine="680"/>
        <w:jc w:val="both"/>
        <w:spacing w:before="0" w:beforeAutospacing="0" w:after="198" w:afterAutospacing="0" w:line="240" w:lineRule="auto"/>
        <w:widowControl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зоне 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СХ-3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Зона сельскохозяйственного использования за границами населенного пункта»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представлены в таблице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5.2.1.</w:t>
      </w:r>
      <w:r/>
    </w:p>
    <w:p>
      <w:pPr>
        <w:pStyle w:val="690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5.2.1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35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70"/>
        <w:gridCol w:w="4981"/>
        <w:gridCol w:w="23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70" w:type="dxa"/>
            <w:vAlign w:val="center"/>
            <w:textDirection w:val="lrTb"/>
            <w:noWrap w:val="false"/>
          </w:tcPr>
          <w:p>
            <w:pPr>
              <w:pStyle w:val="71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81" w:type="dxa"/>
            <w:vAlign w:val="center"/>
            <w:textDirection w:val="lrTb"/>
            <w:noWrap w:val="false"/>
          </w:tcPr>
          <w:p>
            <w:pPr>
              <w:pStyle w:val="71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pStyle w:val="71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restart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скотоводство;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звероводство;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птицеводство;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свиноводство;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хранение и переработка сельскохозяйственной продукции;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сельскохозяйственного производства.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restart"/>
            <w:textDirection w:val="lrTb"/>
            <w:noWrap w:val="false"/>
          </w:tcPr>
          <w:p>
            <w:pPr>
              <w:pStyle w:val="717"/>
              <w:ind w:right="0" w:firstLine="0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выращивание зерновых и иных сельскохозяйственных культур;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овощеводство;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выращивание тонизирующих, лекарственных, цветочных культур;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садоводство;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выращивание льна и конопли;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пчеловодство;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рыбоводство;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научное обеспечение сельского хозяйства;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сенокошение;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vMerge w:val="continue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выпас сельскохозяйственных животных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981" w:type="dxa"/>
            <w:textDirection w:val="lrTb"/>
            <w:noWrap w:val="false"/>
          </w:tcPr>
          <w:p>
            <w:pPr>
              <w:pStyle w:val="71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90"/>
        <w:jc w:val="right"/>
      </w:pPr>
      <w:r/>
      <w:r/>
    </w:p>
    <w:p>
      <w:pPr>
        <w:pStyle w:val="654"/>
        <w:ind w:left="-425" w:right="-283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СХ-3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Зона сельскохозяйственного использования за границами населенного пункта»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представлены в таблице в таблице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5.2.2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90"/>
        <w:spacing w:line="240" w:lineRule="auto"/>
      </w:pPr>
      <w:r/>
      <w:r/>
    </w:p>
    <w:p>
      <w:pPr>
        <w:pStyle w:val="690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 w:val="off"/>
        <w:rPr>
          <w:rFonts w:cs="Times New Roman"/>
          <w:color w:val="auto"/>
        </w:rPr>
      </w:pPr>
      <w:r>
        <w:rPr>
          <w:rFonts w:eastAsia="NSimSun" w:cs="Times New Roman"/>
          <w:color w:val="auto"/>
          <w:szCs w:val="28"/>
          <w:highlight w:val="none"/>
          <w:lang w:eastAsia="zh-CN" w:bidi="ar-SA"/>
        </w:rPr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p>
      <w:pPr>
        <w:pStyle w:val="690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highlight w:val="none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5.2.2</w:t>
      </w:r>
      <w:r>
        <w:rPr>
          <w:rFonts w:cs="Times New Roman"/>
          <w:color w:val="auto"/>
          <w:highlight w:val="none"/>
        </w:rPr>
      </w:r>
      <w:r>
        <w:rPr>
          <w:rFonts w:cs="Times New Roman"/>
          <w:color w:val="auto"/>
          <w:highlight w:val="none"/>
        </w:rPr>
      </w:r>
    </w:p>
    <w:p>
      <w:pPr>
        <w:pStyle w:val="690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 w:val="off"/>
        <w:rPr>
          <w:rFonts w:eastAsia="NSimSun" w:cs="Times New Roman"/>
          <w:color w:val="auto"/>
          <w:highlight w:val="none"/>
          <w:lang w:eastAsia="zh-CN" w:bidi="ar-SA"/>
        </w:rPr>
      </w:pPr>
      <w:r>
        <w:rPr>
          <w:rFonts w:cs="Times New Roman"/>
          <w:color w:val="auto"/>
          <w:szCs w:val="28"/>
          <w:highlight w:val="none"/>
        </w:rPr>
      </w:r>
      <w:r>
        <w:rPr>
          <w:rFonts w:eastAsia="NSimSun" w:cs="Times New Roman"/>
          <w:color w:val="auto"/>
          <w:highlight w:val="none"/>
          <w:lang w:eastAsia="zh-CN" w:bidi="ar-SA"/>
        </w:rPr>
      </w:r>
      <w:r>
        <w:rPr>
          <w:rFonts w:eastAsia="NSimSun" w:cs="Times New Roman"/>
          <w:color w:val="auto"/>
          <w:highlight w:val="none"/>
          <w:lang w:eastAsia="zh-CN" w:bidi="ar-SA"/>
        </w:rPr>
      </w:r>
    </w:p>
    <w:tbl>
      <w:tblPr>
        <w:tblW w:w="10380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40"/>
        <w:gridCol w:w="875"/>
        <w:gridCol w:w="900"/>
        <w:gridCol w:w="913"/>
        <w:gridCol w:w="1022"/>
        <w:gridCol w:w="1365"/>
        <w:gridCol w:w="2084"/>
        <w:gridCol w:w="1937"/>
        <w:gridCol w:w="343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Merge w:val="restart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5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auto"/>
                <w:sz w:val="24"/>
                <w:szCs w:val="24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участка (м)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65" w:type="dxa"/>
            <w:vMerge w:val="restart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Минималь-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ный отступ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от границ земельного участка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(м)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Merge w:val="restart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Merge w:val="restart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Максимальный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17"/>
              <w:ind w:left="-28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</w:tc>
        <w:tc>
          <w:tcPr>
            <w:tcW w:w="343" w:type="dxa"/>
            <w:vMerge w:val="restart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W w:w="343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6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39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6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Условно разрешенные виды использования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</w:tcBorders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1.19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1.20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t xml:space="preserve">».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</w:tbl>
    <w:p>
      <w:pPr>
        <w:pStyle w:val="654"/>
        <w:contextualSpacing/>
        <w:ind w:left="-283" w:right="-141" w:firstLine="0"/>
        <w:jc w:val="left"/>
        <w:keepLines/>
        <w:spacing w:before="0" w:after="200"/>
        <w:suppressLineNumbers w:val="0"/>
      </w:pPr>
      <w:r/>
      <w:r/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6"/>
    <w:uiPriority w:val="29"/>
    <w:qFormat/>
    <w:rPr>
      <w:i/>
    </w:rPr>
  </w:style>
  <w:style w:type="character" w:styleId="676">
    <w:name w:val="Intense Quote Char"/>
    <w:link w:val="697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character" w:styleId="688">
    <w:name w:val="Символ нумерации"/>
    <w:qFormat/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0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91">
    <w:name w:val="List"/>
    <w:basedOn w:val="690"/>
    <w:rPr>
      <w:rFonts w:cs="Arial"/>
    </w:rPr>
  </w:style>
  <w:style w:type="paragraph" w:styleId="692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3">
    <w:name w:val="Указатель"/>
    <w:basedOn w:val="654"/>
    <w:qFormat/>
    <w:pPr>
      <w:suppressLineNumbers/>
    </w:pPr>
    <w:rPr>
      <w:rFonts w:cs="Arial"/>
    </w:rPr>
  </w:style>
  <w:style w:type="paragraph" w:styleId="694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5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6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7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8">
    <w:name w:val="Колонтитул"/>
    <w:basedOn w:val="654"/>
    <w:qFormat/>
  </w:style>
  <w:style w:type="paragraph" w:styleId="699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1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2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3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4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5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6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7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8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9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10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1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2">
    <w:name w:val="Index Heading"/>
    <w:basedOn w:val="689"/>
  </w:style>
  <w:style w:type="paragraph" w:styleId="713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4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5">
    <w:name w:val="No Spacing"/>
    <w:basedOn w:val="654"/>
    <w:uiPriority w:val="1"/>
    <w:qFormat/>
    <w:pPr>
      <w:spacing w:before="0" w:after="0" w:line="240" w:lineRule="auto"/>
    </w:pPr>
  </w:style>
  <w:style w:type="paragraph" w:styleId="716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7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paragraph" w:styleId="718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basedOn w:val="8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13</cp:revision>
  <dcterms:modified xsi:type="dcterms:W3CDTF">2025-12-02T06:18:29Z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