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4A" w:rsidRDefault="00BE0C3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74A" w:rsidRDefault="00BE0C3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C474A" w:rsidRDefault="00BE0C3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C474A" w:rsidRDefault="006C474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C474A" w:rsidRDefault="006C474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C474A" w:rsidRDefault="00BE0C3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C474A" w:rsidRDefault="006C474A">
      <w:pPr>
        <w:tabs>
          <w:tab w:val="left" w:pos="709"/>
        </w:tabs>
        <w:jc w:val="center"/>
        <w:rPr>
          <w:sz w:val="28"/>
        </w:rPr>
      </w:pPr>
    </w:p>
    <w:p w:rsidR="006C474A" w:rsidRDefault="006C474A">
      <w:pPr>
        <w:tabs>
          <w:tab w:val="left" w:pos="709"/>
        </w:tabs>
        <w:jc w:val="center"/>
        <w:rPr>
          <w:sz w:val="28"/>
        </w:rPr>
      </w:pPr>
    </w:p>
    <w:p w:rsidR="006C474A" w:rsidRDefault="00BE0C3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46F0E">
        <w:rPr>
          <w:sz w:val="28"/>
        </w:rPr>
        <w:t>16</w:t>
      </w:r>
      <w:r>
        <w:rPr>
          <w:sz w:val="28"/>
        </w:rPr>
        <w:t>»</w:t>
      </w:r>
      <w:r w:rsidR="00A46F0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A46F0E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A46F0E">
        <w:rPr>
          <w:sz w:val="28"/>
        </w:rPr>
        <w:t>1144-п</w:t>
      </w:r>
    </w:p>
    <w:p w:rsidR="006C474A" w:rsidRDefault="006C474A">
      <w:pPr>
        <w:tabs>
          <w:tab w:val="left" w:pos="709"/>
        </w:tabs>
        <w:jc w:val="both"/>
        <w:rPr>
          <w:sz w:val="28"/>
        </w:rPr>
      </w:pPr>
    </w:p>
    <w:p w:rsidR="006C474A" w:rsidRDefault="006C474A">
      <w:pPr>
        <w:tabs>
          <w:tab w:val="left" w:pos="709"/>
        </w:tabs>
        <w:jc w:val="both"/>
        <w:rPr>
          <w:sz w:val="28"/>
        </w:rPr>
      </w:pPr>
    </w:p>
    <w:p w:rsidR="006C474A" w:rsidRDefault="00BE0C36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000000" w:themeColor="text1"/>
          <w:sz w:val="28"/>
        </w:rPr>
        <w:t>Касимовский муниципальный округ Рязанской области применительно к территории Овчинниковского сельского округа Касимовского района Рязанской области</w:t>
      </w:r>
    </w:p>
    <w:bookmarkEnd w:id="0"/>
    <w:p w:rsidR="006C474A" w:rsidRDefault="006C474A">
      <w:pPr>
        <w:tabs>
          <w:tab w:val="left" w:pos="709"/>
        </w:tabs>
        <w:jc w:val="both"/>
        <w:rPr>
          <w:sz w:val="28"/>
          <w:highlight w:val="white"/>
        </w:rPr>
      </w:pPr>
    </w:p>
    <w:p w:rsidR="006C474A" w:rsidRDefault="00BE0C36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>На основании обращения Акутина Е.К.,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</w:t>
      </w:r>
      <w:r>
        <w:rPr>
          <w:color w:val="000000" w:themeColor="text1"/>
          <w:sz w:val="28"/>
          <w:szCs w:val="28"/>
        </w:rPr>
        <w:t>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19.09.2025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 xml:space="preserve">ководствуясь </w:t>
      </w:r>
      <w:r>
        <w:rPr>
          <w:color w:val="000000" w:themeColor="text1"/>
          <w:sz w:val="28"/>
          <w:szCs w:val="28"/>
        </w:rPr>
        <w:t xml:space="preserve">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6C474A" w:rsidRDefault="00BE0C36" w:rsidP="00BE0C36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>ступить к подготовке проекта внесения изменений в правила землепользования и застройки муниципального образования</w:t>
      </w:r>
      <w:r>
        <w:rPr>
          <w:sz w:val="28"/>
          <w:szCs w:val="28"/>
        </w:rPr>
        <w:t xml:space="preserve"> – </w:t>
      </w:r>
      <w:r>
        <w:rPr>
          <w:sz w:val="28"/>
        </w:rPr>
        <w:t xml:space="preserve">Касимовский муниципальный округ Рязанской области применительно к территории Овчинниковского сельского округа Касимовского района Рязанской </w:t>
      </w:r>
      <w:r>
        <w:rPr>
          <w:sz w:val="28"/>
        </w:rPr>
        <w:t xml:space="preserve">области, утвержденные постановлением главного управления архитектуры </w:t>
      </w:r>
      <w:r>
        <w:rPr>
          <w:sz w:val="28"/>
        </w:rPr>
        <w:br/>
        <w:t>и градостроительства Рязанской области от 25.07.2025 № 591-п</w:t>
      </w:r>
      <w:r>
        <w:rPr>
          <w:color w:val="000000" w:themeColor="text1"/>
          <w:sz w:val="28"/>
        </w:rPr>
        <w:t xml:space="preserve"> «Об утверждении правил землепользования и застройки муниципального образования – </w:t>
      </w:r>
      <w:r>
        <w:rPr>
          <w:sz w:val="28"/>
        </w:rPr>
        <w:t>Касимовский муниципальный округ Рязанской об</w:t>
      </w:r>
      <w:r>
        <w:rPr>
          <w:sz w:val="28"/>
        </w:rPr>
        <w:t xml:space="preserve">ласти применительно </w:t>
      </w:r>
      <w:r>
        <w:rPr>
          <w:sz w:val="28"/>
        </w:rPr>
        <w:br/>
        <w:t>к территории Овчинниковского сельского округа Касимовского района Рязанской области»,</w:t>
      </w:r>
      <w:r>
        <w:rPr>
          <w:color w:val="000000" w:themeColor="text1"/>
          <w:sz w:val="28"/>
          <w:szCs w:val="28"/>
        </w:rPr>
        <w:t xml:space="preserve"> в части:</w:t>
      </w:r>
    </w:p>
    <w:p w:rsidR="006C474A" w:rsidRDefault="00BE0C36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дополнения перечня территориальных зон зоной «Зона природно-познавательного туризма»;</w:t>
      </w:r>
    </w:p>
    <w:p w:rsidR="006C474A" w:rsidRDefault="00BE0C36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>-</w:t>
      </w:r>
      <w:r>
        <w:rPr>
          <w:color w:val="000000" w:themeColor="text1"/>
          <w:sz w:val="28"/>
          <w:szCs w:val="28"/>
          <w:highlight w:val="white"/>
        </w:rPr>
        <w:t xml:space="preserve"> установления для территориальной зоны «Зона природно-познавательного туризма» следующих основных видов разрешенного использования земельных участков и объектов капитального строительства: «Природно-познавательный туризм (5.2)», «Причалы для маломерных суд</w:t>
      </w:r>
      <w:r>
        <w:rPr>
          <w:color w:val="000000" w:themeColor="text1"/>
          <w:sz w:val="28"/>
          <w:szCs w:val="28"/>
          <w:highlight w:val="white"/>
        </w:rPr>
        <w:t>ов (5.4)», «Общее пользование водными объектами (11.1)», «Благоустройство территорий (12.0.2)»;</w:t>
      </w:r>
    </w:p>
    <w:p w:rsidR="006C474A" w:rsidRDefault="00BE0C36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установления для территориальной зоны «Зона природно-познавательного туризма» предельных размеров земельных участков, в том числе их площади,</w:t>
      </w:r>
      <w:r>
        <w:rPr>
          <w:color w:val="000000" w:themeColor="text1"/>
          <w:sz w:val="28"/>
          <w:szCs w:val="28"/>
          <w:highlight w:val="white"/>
        </w:rPr>
        <w:br/>
        <w:t>и предельных пар</w:t>
      </w:r>
      <w:r>
        <w:rPr>
          <w:color w:val="000000" w:themeColor="text1"/>
          <w:sz w:val="28"/>
          <w:szCs w:val="28"/>
          <w:highlight w:val="white"/>
        </w:rPr>
        <w:t>аметров разрешенного строительства, реконструкции объектов капитального строительства – НПУ;</w:t>
      </w:r>
    </w:p>
    <w:p w:rsidR="006C474A" w:rsidRDefault="00BE0C36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 отнесения земельных участков с кадастровыми номерами 62:04:2250202:436, 62:04:2250202:445, 62:04:0000000:299 к территориальной зоне «Зона природно-познавательног</w:t>
      </w:r>
      <w:r>
        <w:rPr>
          <w:color w:val="000000" w:themeColor="text1"/>
          <w:sz w:val="28"/>
          <w:szCs w:val="28"/>
          <w:highlight w:val="white"/>
        </w:rPr>
        <w:t>о туризма».</w:t>
      </w:r>
    </w:p>
    <w:p w:rsidR="006C474A" w:rsidRDefault="00BE0C36" w:rsidP="00BE0C36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r>
        <w:rPr>
          <w:sz w:val="28"/>
          <w:szCs w:val="28"/>
          <w:lang w:eastAsia="ar-SA"/>
        </w:rPr>
        <w:t>Акутину Е.К.</w:t>
      </w:r>
      <w:r>
        <w:rPr>
          <w:color w:val="auto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A46F0E">
        <w:rPr>
          <w:color w:val="000000" w:themeColor="text1"/>
          <w:sz w:val="28"/>
          <w:szCs w:val="28"/>
        </w:rPr>
        <w:t>.</w:t>
      </w:r>
    </w:p>
    <w:p w:rsidR="006C474A" w:rsidRDefault="00BE0C36" w:rsidP="00BE0C36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</w:t>
      </w:r>
      <w:r>
        <w:rPr>
          <w:sz w:val="28"/>
          <w:szCs w:val="28"/>
          <w:lang w:eastAsia="ar-SA"/>
        </w:rPr>
        <w:t>я в соответствии с пунктом 1 настоящего постановления:</w:t>
      </w:r>
    </w:p>
    <w:p w:rsidR="006C474A" w:rsidRDefault="00BE0C36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6C474A" w:rsidRDefault="00BE0C36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</w:t>
      </w:r>
      <w:r>
        <w:rPr>
          <w:sz w:val="28"/>
          <w:szCs w:val="28"/>
          <w:lang w:eastAsia="ar-SA"/>
        </w:rPr>
        <w:t>ючение о его соответствии нормам градостроительного законодательства.</w:t>
      </w:r>
    </w:p>
    <w:p w:rsidR="006C474A" w:rsidRDefault="00BE0C36" w:rsidP="00BE0C36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6C474A" w:rsidRDefault="00BE0C36" w:rsidP="00BE0C36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6C474A" w:rsidRDefault="00BE0C36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6C474A" w:rsidRDefault="00BE0C36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6C474A" w:rsidRDefault="00BE0C36" w:rsidP="00BE0C36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6C474A" w:rsidRDefault="00BE0C36" w:rsidP="00BE0C36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Касимовского муниципального</w:t>
      </w:r>
      <w:r>
        <w:rPr>
          <w:sz w:val="28"/>
          <w:szCs w:val="28"/>
          <w:lang w:eastAsia="ar-SA"/>
        </w:rPr>
        <w:t xml:space="preserve">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C474A" w:rsidRDefault="00BE0C36" w:rsidP="00BE0C36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rFonts w:eastAsia="NSimSun" w:cs="Arial"/>
          <w:color w:val="auto"/>
          <w:sz w:val="28"/>
          <w:szCs w:val="28"/>
        </w:rPr>
        <w:lastRenderedPageBreak/>
        <w:t>на заместите</w:t>
      </w:r>
      <w:r>
        <w:rPr>
          <w:rFonts w:eastAsia="NSimSun" w:cs="Arial"/>
          <w:color w:val="auto"/>
          <w:sz w:val="28"/>
          <w:szCs w:val="28"/>
        </w:rPr>
        <w:t xml:space="preserve">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6C474A" w:rsidRDefault="006C474A">
      <w:pPr>
        <w:widowControl w:val="0"/>
        <w:jc w:val="both"/>
        <w:rPr>
          <w:sz w:val="22"/>
          <w:highlight w:val="yellow"/>
        </w:rPr>
      </w:pPr>
    </w:p>
    <w:p w:rsidR="006C474A" w:rsidRDefault="006C474A">
      <w:pPr>
        <w:widowControl w:val="0"/>
        <w:jc w:val="both"/>
        <w:rPr>
          <w:color w:val="auto"/>
          <w:sz w:val="22"/>
          <w:highlight w:val="white"/>
        </w:rPr>
      </w:pPr>
    </w:p>
    <w:p w:rsidR="006C474A" w:rsidRDefault="00BE0C36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</w:t>
      </w:r>
      <w:r>
        <w:rPr>
          <w:color w:val="auto"/>
          <w:sz w:val="28"/>
          <w:szCs w:val="28"/>
        </w:rPr>
        <w:t xml:space="preserve"> Р.В. Шашкин</w:t>
      </w:r>
    </w:p>
    <w:p w:rsidR="006C474A" w:rsidRDefault="006C474A">
      <w:pPr>
        <w:tabs>
          <w:tab w:val="left" w:pos="709"/>
        </w:tabs>
        <w:jc w:val="both"/>
        <w:rPr>
          <w:sz w:val="24"/>
          <w:highlight w:val="white"/>
        </w:rPr>
      </w:pPr>
    </w:p>
    <w:p w:rsidR="006C474A" w:rsidRDefault="006C474A">
      <w:pPr>
        <w:contextualSpacing/>
        <w:jc w:val="both"/>
        <w:rPr>
          <w:sz w:val="24"/>
        </w:rPr>
      </w:pPr>
    </w:p>
    <w:sectPr w:rsidR="006C474A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36" w:rsidRDefault="00BE0C36">
      <w:r>
        <w:separator/>
      </w:r>
    </w:p>
  </w:endnote>
  <w:endnote w:type="continuationSeparator" w:id="0">
    <w:p w:rsidR="00BE0C36" w:rsidRDefault="00BE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36" w:rsidRDefault="00BE0C36">
      <w:r>
        <w:separator/>
      </w:r>
    </w:p>
  </w:footnote>
  <w:footnote w:type="continuationSeparator" w:id="0">
    <w:p w:rsidR="00BE0C36" w:rsidRDefault="00BE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A" w:rsidRDefault="00BE0C36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A46F0E" w:rsidRPr="00A46F0E">
      <w:rPr>
        <w:noProof/>
        <w:sz w:val="28"/>
      </w:rPr>
      <w:t>2</w:t>
    </w:r>
    <w:r>
      <w:rPr>
        <w:sz w:val="28"/>
      </w:rPr>
      <w:fldChar w:fldCharType="end"/>
    </w:r>
  </w:p>
  <w:p w:rsidR="006C474A" w:rsidRDefault="006C474A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4E66"/>
    <w:multiLevelType w:val="hybridMultilevel"/>
    <w:tmpl w:val="C12AF218"/>
    <w:lvl w:ilvl="0" w:tplc="3956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77E7B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6AABF4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68AADE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1C8031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8A800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3503FB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C0AA1A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73A077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4A"/>
    <w:rsid w:val="006C474A"/>
    <w:rsid w:val="00A46F0E"/>
    <w:rsid w:val="00B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D29B"/>
  <w15:docId w15:val="{2E2F2A35-FB22-41D8-9AB8-1D02AFA3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123</cp:revision>
  <dcterms:created xsi:type="dcterms:W3CDTF">2020-12-26T06:51:00Z</dcterms:created>
  <dcterms:modified xsi:type="dcterms:W3CDTF">2025-12-16T13:55:00Z</dcterms:modified>
</cp:coreProperties>
</file>