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pacing w:val="-2"/>
          <w:highlight w:val="none"/>
        </w:rPr>
      </w:pPr>
      <w:r>
        <w:rPr>
          <w:sz w:val="24"/>
          <w:szCs w:val="24"/>
        </w:rPr>
        <w:t xml:space="preserve">от 10 декабря 2025 г. № 1092-п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/>
      <w:r/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«Приложение</w:t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к генеральному плану</w:t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муниципального образования – </w:t>
        <w:br/>
        <w:t xml:space="preserve">Перкинское сельское поселение</w:t>
        <w:br/>
        <w:t xml:space="preserve">Спасского муниципального района</w:t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Огородниково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село Огородниково.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2 724 068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62:20-4.67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68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68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4"/>
                <w:sz w:val="20"/>
              </w:rPr>
              <w:t xml:space="preserve">4.67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676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676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2025-11-14T11:59:04Z</dcterms:created>
  <dcterms:modified xsi:type="dcterms:W3CDTF">2025-12-11T13:16:19Z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