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Приложение № 4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к постановлению главного управления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архитектуры и градостроительства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Рязанской области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  <w:t xml:space="preserve">от 28 ноября.2025 г.  № 1032-п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0"/>
          <w:numId w:val="0"/>
        </w:numPr>
        <w:ind w:left="-425" w:right="-141" w:firstLine="567"/>
        <w:jc w:val="both"/>
        <w:spacing w:before="0" w:after="0" w:line="240" w:lineRule="auto"/>
        <w:widowControl/>
        <w:rPr>
          <w:rFonts w:ascii="Times New Roman" w:hAnsi="Times New Roman" w:cs="Times New Roman"/>
          <w:b/>
          <w:bCs/>
          <w:color w:val="auto"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pStyle w:val="654"/>
        <w:numPr>
          <w:ilvl w:val="0"/>
          <w:numId w:val="0"/>
        </w:numPr>
        <w:ind w:left="-425" w:right="-141" w:firstLine="567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</w:p>
    <w:p>
      <w:pPr>
        <w:pStyle w:val="654"/>
        <w:numPr>
          <w:ilvl w:val="0"/>
          <w:numId w:val="0"/>
        </w:numPr>
        <w:ind w:left="-425" w:right="-141" w:firstLine="567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«6.2.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СН-5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Зона размещения скотомогильников.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</w:p>
    <w:p>
      <w:pPr>
        <w:pStyle w:val="654"/>
        <w:ind w:left="-425" w:right="-141" w:firstLine="567"/>
        <w:jc w:val="both"/>
        <w:spacing w:before="0" w:after="0" w:line="240" w:lineRule="auto"/>
        <w:widowControl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pStyle w:val="654"/>
        <w:ind w:left="-397" w:right="-227" w:firstLine="567"/>
        <w:jc w:val="both"/>
        <w:spacing w:before="0" w:beforeAutospacing="0" w:after="0" w:afterAutospacing="0" w:line="240" w:lineRule="auto"/>
        <w:widowControl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Зона размещения скотомогильников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выделена для обеспечения правовых условий использования территорий, занятых скотомогильниками.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</w:p>
    <w:p>
      <w:pPr>
        <w:pStyle w:val="654"/>
        <w:ind w:left="-397" w:right="-227" w:firstLine="567"/>
        <w:jc w:val="both"/>
        <w:spacing w:before="0" w:beforeAutospacing="0" w:after="0" w:afterAutospacing="0" w:line="240" w:lineRule="auto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Виды разрешенного использования земельных участков и объектов капитального строительства в зоне «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СН-5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Зона размещения скотомогильников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 представлены в таблице 6.2.1.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689"/>
        <w:ind w:left="0" w:right="-227" w:firstLine="680"/>
        <w:jc w:val="right"/>
        <w:keepLines w:val="0"/>
        <w:keepNext w:val="0"/>
        <w:pageBreakBefore w:val="0"/>
        <w:spacing w:before="0" w:beforeAutospacing="0" w:after="0" w:afterAutospacing="0" w:line="240" w:lineRule="auto"/>
        <w:shd w:val="nil" w:color="auto"/>
        <w:widowControl w:val="off"/>
        <w:rPr>
          <w:rFonts w:cs="Times New Roman"/>
          <w:color w:val="auto"/>
          <w:szCs w:val="28"/>
        </w:rPr>
      </w:pPr>
      <w:r>
        <w:rPr>
          <w:rFonts w:eastAsia="NSimSun" w:cs="Times New Roman"/>
          <w:color w:val="auto"/>
          <w:szCs w:val="28"/>
          <w:lang w:eastAsia="zh-CN" w:bidi="ar-SA"/>
        </w:rPr>
        <w:t xml:space="preserve">Таблица 6.2.1</w:t>
      </w:r>
      <w:r>
        <w:rPr>
          <w:rFonts w:cs="Times New Roman"/>
          <w:color w:val="auto"/>
          <w:szCs w:val="28"/>
        </w:rPr>
      </w:r>
      <w:r>
        <w:rPr>
          <w:rFonts w:cs="Times New Roman"/>
          <w:color w:val="auto"/>
          <w:szCs w:val="28"/>
        </w:rPr>
      </w:r>
    </w:p>
    <w:tbl>
      <w:tblPr>
        <w:tblW w:w="10035" w:type="dxa"/>
        <w:tblInd w:w="-42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543"/>
        <w:gridCol w:w="4106"/>
        <w:gridCol w:w="238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106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Наименование вида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 вида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06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с</w:t>
            </w:r>
            <w:r>
              <w:rPr>
                <w:color w:val="auto"/>
              </w:rPr>
              <w:t xml:space="preserve">пециальная деятельность.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12.2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Условно разрешенные виды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06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Вспомогательные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06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6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pStyle w:val="689"/>
        <w:jc w:val="right"/>
      </w:pPr>
      <w:r/>
      <w:r/>
    </w:p>
    <w:p>
      <w:pPr>
        <w:pStyle w:val="654"/>
        <w:ind w:left="-425" w:right="-283" w:firstLine="567"/>
        <w:jc w:val="both"/>
        <w:spacing w:before="0" w:after="0" w:line="240" w:lineRule="auto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Предельные размеры земельных участков, в том числе их площадь, и предельные параметры разрешенного строительства, реконструкции объектов капитального строительства в зоне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«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СН-5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Зона размещения скотомогильников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 представлены в таблице в таблице 6.2.2.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689"/>
        <w:spacing w:line="240" w:lineRule="auto"/>
      </w:pPr>
      <w:r/>
      <w:r/>
    </w:p>
    <w:p>
      <w:pPr>
        <w:pStyle w:val="689"/>
        <w:ind w:left="0" w:right="-227" w:firstLine="680"/>
        <w:jc w:val="right"/>
        <w:keepLines w:val="0"/>
        <w:keepNext w:val="0"/>
        <w:pageBreakBefore w:val="0"/>
        <w:spacing w:before="0" w:beforeAutospacing="0" w:after="0" w:afterAutospacing="0" w:line="240" w:lineRule="auto"/>
        <w:shd w:val="nil" w:color="auto"/>
        <w:widowControl w:val="off"/>
        <w:rPr>
          <w:rFonts w:cs="Times New Roman"/>
          <w:color w:val="auto"/>
          <w:szCs w:val="28"/>
        </w:rPr>
      </w:pPr>
      <w:r>
        <w:rPr>
          <w:rFonts w:eastAsia="NSimSun" w:cs="Times New Roman"/>
          <w:color w:val="auto"/>
          <w:szCs w:val="28"/>
          <w:lang w:eastAsia="zh-CN" w:bidi="ar-SA"/>
        </w:rPr>
        <w:t xml:space="preserve">Таблица 6.2.2</w:t>
      </w:r>
      <w:r>
        <w:rPr>
          <w:rFonts w:cs="Times New Roman"/>
          <w:color w:val="auto"/>
          <w:szCs w:val="28"/>
        </w:rPr>
      </w:r>
      <w:r>
        <w:rPr>
          <w:rFonts w:cs="Times New Roman"/>
          <w:color w:val="auto"/>
          <w:szCs w:val="28"/>
        </w:rPr>
      </w:r>
    </w:p>
    <w:tbl>
      <w:tblPr>
        <w:tblW w:w="10380" w:type="dxa"/>
        <w:tblInd w:w="-42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40"/>
        <w:gridCol w:w="875"/>
        <w:gridCol w:w="900"/>
        <w:gridCol w:w="913"/>
        <w:gridCol w:w="1022"/>
        <w:gridCol w:w="1365"/>
        <w:gridCol w:w="2084"/>
        <w:gridCol w:w="1938"/>
        <w:gridCol w:w="342"/>
      </w:tblGrid>
      <w:tr>
        <w:tblPrEx/>
        <w:trPr>
          <w:trHeight w:val="79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40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вида раз-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решенного исполь-зования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75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r>
              <w:t xml:space="preserve">земельного</w:t>
            </w:r>
            <w:r/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</w:pPr>
            <w:r>
              <w:t xml:space="preserve"> </w:t>
            </w:r>
            <w:r>
              <w:t xml:space="preserve">участка (м)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35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Площадь земельного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участка (</w:t>
            </w:r>
            <w:r>
              <w:rPr>
                <w:rFonts w:eastAsia="Calibri" w:cs="Calibri"/>
                <w:color w:val="auto"/>
                <w:lang w:eastAsia="zh-CN" w:bidi="ar-SA"/>
              </w:rPr>
              <w:t xml:space="preserve">кв.м</w:t>
            </w:r>
            <w:r>
              <w:rPr>
                <w:color w:val="auto"/>
              </w:rPr>
              <w:t xml:space="preserve">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65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Минималь-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ный отступ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от границ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84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Предельное количество этажей/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предельная высота зданий, строений, сооружений 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8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Максимальный процент застройки в границах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-28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 xml:space="preserve">(%)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342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153" w:hRule="exac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40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75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00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1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22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5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84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8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</w:pPr>
            <w:r/>
            <w:r/>
          </w:p>
        </w:tc>
        <w:tc>
          <w:tcPr>
            <w:tcW w:w="342" w:type="dxa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</w:pPr>
            <w:r/>
            <w:r/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4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1</w:t>
            </w:r>
            <w:r>
              <w:rPr>
                <w:rFonts w:eastAsia="Calibri" w:cs="Calibri"/>
                <w:szCs w:val="22"/>
                <w:lang w:eastAsia="zh-CN" w:bidi="ar-SA"/>
              </w:rPr>
              <w:t xml:space="preserve">2.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0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13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2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100000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84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8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».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</w:tbl>
    <w:p>
      <w:pPr>
        <w:pStyle w:val="654"/>
        <w:spacing w:before="0" w:after="0" w:line="283" w:lineRule="atLeast"/>
        <w:rPr>
          <w:color w:val="auto"/>
          <w:sz w:val="28"/>
        </w:rPr>
      </w:pPr>
      <w:r>
        <w:rPr>
          <w:color w:val="auto"/>
          <w:sz w:val="28"/>
        </w:rPr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Style w:val="654"/>
        <w:ind w:left="-283" w:right="-141" w:firstLine="283"/>
        <w:spacing w:before="0" w:after="200"/>
      </w:pPr>
      <w:r/>
      <w:r/>
    </w:p>
    <w:sectPr>
      <w:footnotePr/>
      <w:endnotePr/>
      <w:type w:val="nextPage"/>
      <w:pgSz w:w="11906" w:h="16838" w:orient="portrait"/>
      <w:pgMar w:top="709" w:right="850" w:bottom="822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erif">
    <w:panose1 w:val="020206030504050203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55">
    <w:name w:val="Heading 1"/>
    <w:basedOn w:val="654"/>
    <w:next w:val="654"/>
    <w:link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next w:val="65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next w:val="654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next w:val="65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next w:val="654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link w:val="695"/>
    <w:uiPriority w:val="29"/>
    <w:qFormat/>
    <w:rPr>
      <w:i/>
    </w:rPr>
  </w:style>
  <w:style w:type="character" w:styleId="676">
    <w:name w:val="Intense Quote Char"/>
    <w:link w:val="696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 w:default="1">
    <w:name w:val="Default Paragraph Font"/>
    <w:uiPriority w:val="1"/>
    <w:semiHidden/>
    <w:unhideWhenUsed/>
    <w:qFormat/>
  </w:style>
  <w:style w:type="paragraph" w:styleId="688">
    <w:name w:val="Заголовок"/>
    <w:basedOn w:val="654"/>
    <w:next w:val="68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689" w:customStyle="1">
    <w:name w:val="Body Text"/>
    <w:pPr>
      <w:ind w:left="0" w:right="0" w:firstLine="709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4"/>
      <w:u w:val="none"/>
      <w:vertAlign w:val="baseline"/>
      <w:lang w:val="ru-RU" w:eastAsia="ru-RU" w:bidi="hi-IN"/>
      <w14:ligatures w14:val="none"/>
    </w:rPr>
  </w:style>
  <w:style w:type="paragraph" w:styleId="690">
    <w:name w:val="List"/>
    <w:basedOn w:val="689"/>
    <w:rPr>
      <w:rFonts w:cs="Arial"/>
    </w:rPr>
  </w:style>
  <w:style w:type="paragraph" w:styleId="691">
    <w:name w:val="Caption"/>
    <w:basedOn w:val="654"/>
    <w:next w:val="654"/>
    <w:link w:val="6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92">
    <w:name w:val="Указатель"/>
    <w:basedOn w:val="654"/>
    <w:qFormat/>
    <w:pPr>
      <w:suppressLineNumbers/>
    </w:pPr>
    <w:rPr>
      <w:rFonts w:cs="Arial"/>
    </w:rPr>
  </w:style>
  <w:style w:type="paragraph" w:styleId="693">
    <w:name w:val="Title"/>
    <w:basedOn w:val="654"/>
    <w:next w:val="654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4">
    <w:name w:val="Subtitle"/>
    <w:basedOn w:val="654"/>
    <w:next w:val="654"/>
    <w:link w:val="674"/>
    <w:uiPriority w:val="11"/>
    <w:qFormat/>
    <w:pPr>
      <w:spacing w:before="200" w:after="200"/>
    </w:pPr>
    <w:rPr>
      <w:sz w:val="24"/>
      <w:szCs w:val="24"/>
    </w:rPr>
  </w:style>
  <w:style w:type="paragraph" w:styleId="695">
    <w:name w:val="Quote"/>
    <w:basedOn w:val="654"/>
    <w:next w:val="654"/>
    <w:link w:val="675"/>
    <w:uiPriority w:val="29"/>
    <w:qFormat/>
    <w:pPr>
      <w:ind w:left="720" w:right="720" w:firstLine="0"/>
    </w:pPr>
    <w:rPr>
      <w:i/>
    </w:rPr>
  </w:style>
  <w:style w:type="paragraph" w:styleId="696">
    <w:name w:val="Intense Quote"/>
    <w:basedOn w:val="654"/>
    <w:next w:val="654"/>
    <w:link w:val="676"/>
    <w:uiPriority w:val="30"/>
    <w:qFormat/>
    <w:pPr>
      <w:ind w:left="720" w:right="720" w:firstLine="0"/>
      <w:spacing w:before="0" w:after="20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97">
    <w:name w:val="Колонтитул"/>
    <w:basedOn w:val="654"/>
    <w:qFormat/>
  </w:style>
  <w:style w:type="paragraph" w:styleId="698">
    <w:name w:val="Header"/>
    <w:basedOn w:val="654"/>
    <w:link w:val="67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99">
    <w:name w:val="Footer"/>
    <w:basedOn w:val="654"/>
    <w:link w:val="67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0">
    <w:name w:val="footnote text"/>
    <w:basedOn w:val="654"/>
    <w:link w:val="68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01">
    <w:name w:val="endnote text"/>
    <w:basedOn w:val="654"/>
    <w:link w:val="68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02">
    <w:name w:val="toc 1"/>
    <w:basedOn w:val="654"/>
    <w:next w:val="654"/>
    <w:uiPriority w:val="39"/>
    <w:unhideWhenUsed/>
    <w:pPr>
      <w:ind w:left="0" w:right="0" w:firstLine="0"/>
      <w:spacing w:before="0" w:after="57"/>
    </w:pPr>
  </w:style>
  <w:style w:type="paragraph" w:styleId="703">
    <w:name w:val="toc 2"/>
    <w:basedOn w:val="654"/>
    <w:next w:val="654"/>
    <w:uiPriority w:val="39"/>
    <w:unhideWhenUsed/>
    <w:pPr>
      <w:ind w:left="283" w:right="0" w:firstLine="0"/>
      <w:spacing w:before="0" w:after="57"/>
    </w:pPr>
  </w:style>
  <w:style w:type="paragraph" w:styleId="704">
    <w:name w:val="toc 3"/>
    <w:basedOn w:val="654"/>
    <w:next w:val="654"/>
    <w:uiPriority w:val="39"/>
    <w:unhideWhenUsed/>
    <w:pPr>
      <w:ind w:left="567" w:right="0" w:firstLine="0"/>
      <w:spacing w:before="0" w:after="57"/>
    </w:pPr>
  </w:style>
  <w:style w:type="paragraph" w:styleId="705">
    <w:name w:val="toc 4"/>
    <w:basedOn w:val="654"/>
    <w:next w:val="654"/>
    <w:uiPriority w:val="39"/>
    <w:unhideWhenUsed/>
    <w:pPr>
      <w:ind w:left="850" w:right="0" w:firstLine="0"/>
      <w:spacing w:before="0" w:after="57"/>
    </w:pPr>
  </w:style>
  <w:style w:type="paragraph" w:styleId="70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0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0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0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1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11">
    <w:name w:val="Index Heading"/>
    <w:basedOn w:val="688"/>
  </w:style>
  <w:style w:type="paragraph" w:styleId="712">
    <w:name w:val="TOC Heading"/>
    <w:uiPriority w:val="39"/>
    <w:unhideWhenUsed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13">
    <w:name w:val="table of figures"/>
    <w:basedOn w:val="654"/>
    <w:next w:val="654"/>
    <w:uiPriority w:val="99"/>
    <w:unhideWhenUsed/>
    <w:qFormat/>
    <w:pPr>
      <w:spacing w:before="0" w:after="0" w:afterAutospacing="0"/>
    </w:pPr>
  </w:style>
  <w:style w:type="paragraph" w:styleId="714">
    <w:name w:val="No Spacing"/>
    <w:basedOn w:val="654"/>
    <w:uiPriority w:val="1"/>
    <w:qFormat/>
    <w:pPr>
      <w:spacing w:before="0" w:after="0" w:line="240" w:lineRule="auto"/>
    </w:pPr>
  </w:style>
  <w:style w:type="paragraph" w:styleId="715">
    <w:name w:val="List Paragraph"/>
    <w:basedOn w:val="654"/>
    <w:uiPriority w:val="34"/>
    <w:qFormat/>
    <w:pPr>
      <w:contextualSpacing/>
      <w:ind w:left="720" w:firstLine="0"/>
      <w:spacing w:before="0" w:after="200"/>
    </w:pPr>
  </w:style>
  <w:style w:type="paragraph" w:styleId="716" w:customStyle="1">
    <w:name w:val="Содержимое таблицы"/>
    <w:qFormat/>
    <w:pPr>
      <w:ind w:left="28" w:right="0" w:firstLine="0"/>
      <w:jc w:val="left"/>
      <w:keepLines w:val="0"/>
      <w:keepNext w:val="0"/>
      <w:pageBreakBefore w:val="0"/>
      <w:spacing w:before="100" w:beforeAutospacing="0" w:after="100" w:afterAutospacing="0" w:line="240" w:lineRule="auto"/>
      <w:shd w:val="nil"/>
      <w:widowControl w:val="off"/>
      <w:suppressLineNumbers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u w:val="none"/>
      <w:vertAlign w:val="baseline"/>
      <w:lang w:val="ru-RU" w:eastAsia="ru-RU" w:bidi="hi-IN"/>
      <w14:ligatures w14:val="none"/>
    </w:rPr>
  </w:style>
  <w:style w:type="paragraph" w:styleId="717" w:customStyle="1">
    <w:name w:val="Обычная таблица1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Liberation Serif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ar-SA" w:bidi="hi-IN"/>
      <w14:ligatures w14:val="none"/>
    </w:rPr>
  </w:style>
  <w:style w:type="numbering" w:styleId="718" w:default="1">
    <w:name w:val="No List"/>
    <w:uiPriority w:val="99"/>
    <w:semiHidden/>
    <w:unhideWhenUsed/>
    <w:qFormat/>
  </w:style>
  <w:style w:type="table" w:styleId="719">
    <w:name w:val="Table Grid"/>
    <w:basedOn w:val="84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basedOn w:val="84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4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2">
    <w:name w:val="Plain Table 2"/>
    <w:basedOn w:val="84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3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49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0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1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2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7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8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89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4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5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6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7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8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9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0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1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13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14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15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16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17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19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0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1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2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23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24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25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26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27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28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29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0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1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2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33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34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5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6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7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8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39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1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2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43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44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45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div</cp:lastModifiedBy>
  <cp:revision>14</cp:revision>
  <dcterms:modified xsi:type="dcterms:W3CDTF">2025-12-02T06:19:32Z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