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5"/>
        <w:ind w:firstLine="6520"/>
        <w:spacing w:before="0" w:after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Приложение № 1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5"/>
        <w:ind w:firstLine="6520"/>
        <w:spacing w:before="0" w:after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 постановлению главного управления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5"/>
        <w:ind w:firstLine="6520"/>
        <w:spacing w:before="0" w:after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архитектуры и градостроительства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5"/>
        <w:ind w:firstLine="6520"/>
        <w:spacing w:before="0" w:after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Рязанской 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5"/>
        <w:ind w:firstLine="6520"/>
        <w:spacing w:before="0" w:after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  <w:t xml:space="preserve">от 12 декабря 2025 г.  № 110</w:t>
      </w:r>
      <w:r>
        <w:rPr>
          <w:rFonts w:ascii="Times New Roman" w:hAnsi="Times New Roman" w:eastAsia="Times New Roman" w:cs="Times New Roman"/>
        </w:rPr>
        <w:t xml:space="preserve">8</w:t>
      </w:r>
      <w:r>
        <w:rPr>
          <w:rFonts w:ascii="Times New Roman" w:hAnsi="Times New Roman" w:eastAsia="Times New Roman" w:cs="Times New Roman"/>
        </w:rPr>
        <w:t xml:space="preserve">-п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6"/>
        <w:contextualSpacing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5"/>
        <w:numPr>
          <w:ilvl w:val="0"/>
          <w:numId w:val="0"/>
        </w:numPr>
        <w:ind w:left="0" w:firstLine="540"/>
        <w:jc w:val="both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  <w:t xml:space="preserve">1.1. Ж1. Зона застройки индивидуальными жилыми домами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31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  <w:r>
        <w:rPr>
          <w:rFonts w:cs="Times New Roman"/>
          <w:color w:val="auto"/>
          <w:sz w:val="28"/>
          <w:szCs w:val="28"/>
        </w:rPr>
      </w:r>
      <w:r>
        <w:rPr>
          <w:rFonts w:cs="Times New Roman"/>
          <w:color w:val="auto"/>
          <w:sz w:val="28"/>
          <w:szCs w:val="28"/>
        </w:rPr>
      </w:r>
    </w:p>
    <w:p>
      <w:pPr>
        <w:ind w:left="0" w:right="0" w:firstLine="425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Виды разрешенного использования земельных участков и объ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ектов капитального строительства в зоне «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Ж1. Зона застройки индивидуальными жилыми домами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»  </w:t>
        <w:br/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зоне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«Ж1п. Перспективная зона застройки индивидуальными жилыми домами»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представлены в таблице 1.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1.1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r>
    </w:p>
    <w:p>
      <w:pPr>
        <w:pStyle w:val="731"/>
        <w:ind w:left="142" w:firstLine="567"/>
        <w:jc w:val="right"/>
        <w:rPr>
          <w:rFonts w:cs="Times New Roman"/>
          <w:color w:val="auto"/>
          <w:sz w:val="28"/>
          <w:szCs w:val="28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1.</w:t>
      </w: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1.1</w:t>
      </w:r>
      <w:r>
        <w:rPr>
          <w:rFonts w:cs="Times New Roman"/>
          <w:color w:val="auto"/>
          <w:sz w:val="28"/>
          <w:szCs w:val="28"/>
        </w:rPr>
      </w:r>
      <w:r>
        <w:rPr>
          <w:rFonts w:cs="Times New Roman"/>
          <w:color w:val="auto"/>
          <w:sz w:val="28"/>
          <w:szCs w:val="28"/>
        </w:rPr>
      </w:r>
    </w:p>
    <w:tbl>
      <w:tblPr>
        <w:tblW w:w="10063" w:type="dxa"/>
        <w:tblInd w:w="142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249"/>
        <w:gridCol w:w="5776"/>
        <w:gridCol w:w="2038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49" w:type="dxa"/>
            <w:vAlign w:val="center"/>
            <w:textDirection w:val="lrTb"/>
            <w:noWrap w:val="false"/>
          </w:tcPr>
          <w:p>
            <w:pPr>
              <w:pStyle w:val="732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76" w:type="dxa"/>
            <w:vAlign w:val="center"/>
            <w:textDirection w:val="lrTb"/>
            <w:noWrap w:val="false"/>
          </w:tcPr>
          <w:p>
            <w:pPr>
              <w:pStyle w:val="732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Наименование вида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32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Код вида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pStyle w:val="732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color w:val="auto"/>
              </w:rPr>
            </w:pPr>
            <w:r>
              <w:t xml:space="preserve">для индивидуального жилищного строительства;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</w:pPr>
            <w:r>
              <w:t xml:space="preserve">2.1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color w:val="auto"/>
              </w:rPr>
            </w:pPr>
            <w:r>
              <w:t xml:space="preserve">малоэтажная многоквартирная жилая застройка;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2.1.1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51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color w:val="auto"/>
              </w:rPr>
            </w:pPr>
            <w:r>
              <w:t xml:space="preserve">для ведения личного подсобного хозяйства (приусадебный земельный участок);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2.2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color w:val="auto"/>
              </w:rPr>
            </w:pPr>
            <w:r>
              <w:t xml:space="preserve">блокированная жилая застройка;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</w:pPr>
            <w:r>
              <w:t xml:space="preserve">2.3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х</w:t>
            </w:r>
            <w:r>
              <w:t xml:space="preserve">ранение автотранспорта;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</w:pPr>
            <w:r>
              <w:t xml:space="preserve">2.7.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1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предоставление коммунальных услуг;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3.1.1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административные здания организаций, обеспечивающих предоставление коммунальных услуг;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3.1.2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color w:val="auto"/>
              </w:rPr>
            </w:pPr>
            <w:r>
              <w:t xml:space="preserve">оказание услуг связи;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3.2.3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color w:val="auto"/>
              </w:rPr>
            </w:pPr>
            <w:r>
              <w:t xml:space="preserve">бытовое обслуживание;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color w:val="auto"/>
              </w:rPr>
            </w:pPr>
            <w:r>
              <w:t xml:space="preserve">амбулаторно-поликлиническое обслуживание;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3.4.1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color w:val="auto"/>
              </w:rPr>
            </w:pPr>
            <w:r>
              <w:t xml:space="preserve">дошкольное, начальное и среднее общее образование;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3.5.1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color w:val="auto"/>
              </w:rPr>
            </w:pPr>
            <w:r>
              <w:t xml:space="preserve">объекты культурно-досуговой деятельности;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3.6.1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655"/>
              <w:contextualSpacing/>
              <w:ind w:left="28" w:firstLine="0"/>
              <w:spacing w:before="0" w:after="0"/>
              <w:widowControl w:val="off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color w:val="auto"/>
              </w:rPr>
            </w:pPr>
            <w:r>
              <w:t xml:space="preserve">государственное управление;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3.8.1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655"/>
              <w:contextualSpacing/>
              <w:ind w:left="28" w:firstLine="0"/>
              <w:spacing w:before="0" w:after="0"/>
              <w:widowControl w:val="off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</w:pPr>
            <w:r>
              <w:t xml:space="preserve">обеспечение деятельности в области гидрометеорологии и смежных с ней областях;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2"/>
              <w:ind w:left="57" w:firstLine="0"/>
              <w:jc w:val="center"/>
              <w:spacing w:before="0" w:after="0"/>
              <w:widowControl w:val="off"/>
            </w:pPr>
            <w:r>
              <w:t xml:space="preserve">3.9.1</w:t>
            </w:r>
            <w:r/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655"/>
              <w:contextualSpacing/>
              <w:ind w:left="28" w:firstLine="0"/>
              <w:spacing w:before="0" w:after="0"/>
              <w:widowControl w:val="off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color w:val="auto"/>
              </w:rPr>
            </w:pPr>
            <w:r>
              <w:t xml:space="preserve">магазины;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4.4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655"/>
              <w:contextualSpacing/>
              <w:ind w:left="28" w:firstLine="0"/>
              <w:spacing w:before="0" w:after="0"/>
              <w:widowControl w:val="off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color w:val="auto"/>
              </w:rPr>
            </w:pPr>
            <w:r>
              <w:t xml:space="preserve">обеспечение занятий спортом в помещениях;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5.1.2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655"/>
              <w:contextualSpacing/>
              <w:ind w:left="28" w:firstLine="0"/>
              <w:spacing w:before="0" w:after="0"/>
              <w:widowControl w:val="off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color w:val="auto"/>
              </w:rPr>
            </w:pPr>
            <w:r>
              <w:t xml:space="preserve">площадки для занятий спортом;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5.1.3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655"/>
              <w:contextualSpacing/>
              <w:ind w:left="28" w:firstLine="0"/>
              <w:spacing w:before="0" w:after="0"/>
              <w:widowControl w:val="off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color w:val="auto"/>
              </w:rPr>
            </w:pPr>
            <w:r>
              <w:t xml:space="preserve">обеспечение внутреннего правопорядка;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8.3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655"/>
              <w:contextualSpacing/>
              <w:ind w:left="28" w:firstLine="0"/>
              <w:spacing w:before="0" w:after="0"/>
              <w:widowControl w:val="off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2"/>
              <w:spacing w:before="0" w:after="0"/>
              <w:widowControl w:val="off"/>
              <w:rPr>
                <w:color w:val="auto"/>
              </w:rPr>
            </w:pPr>
            <w:r>
              <w:t xml:space="preserve">земельные участки (территории) общего пользования.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12.0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562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textDirection w:val="lrTb"/>
            <w:noWrap w:val="false"/>
          </w:tcPr>
          <w:p>
            <w:pPr>
              <w:pStyle w:val="732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Условно разрешенные виды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2"/>
              <w:ind w:left="57" w:firstLine="0"/>
              <w:spacing w:before="0" w:after="0"/>
              <w:widowControl w:val="off"/>
              <w:rPr>
                <w:rFonts w:eastAsia="Calibri" w:cs="Calibri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не подлежат установлению.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</w:pPr>
            <w:r>
              <w:t xml:space="preserve">-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textDirection w:val="lrTb"/>
            <w:noWrap w:val="false"/>
          </w:tcPr>
          <w:p>
            <w:pPr>
              <w:pStyle w:val="732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Вспомогательные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32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32"/>
              <w:ind w:left="57" w:firstLine="0"/>
              <w:spacing w:before="0" w:after="0"/>
              <w:widowControl w:val="off"/>
              <w:rPr>
                <w:rFonts w:eastAsia="Calibri" w:cs="Calibri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не подлежат установлению.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</w:pPr>
            <w:r>
              <w:t xml:space="preserve">-</w:t>
            </w:r>
            <w:r/>
          </w:p>
        </w:tc>
      </w:tr>
    </w:tbl>
    <w:p>
      <w:pPr>
        <w:pStyle w:val="731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655"/>
        <w:ind w:left="142" w:firstLine="425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Предельные размеры земельных участков, в том числе их площадь и предельные параметры разрешенного строительства, реконструкции объектов капитального строительства в зоне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Ж1. Зона застройки индивидуальными жилыми домами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» </w:t>
        <w:br/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зоне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«Ж1п. Перспективная зона застройки индивидуальными жилыми домами»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представлены в таблице в таблице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1.1.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1"/>
        <w:ind w:firstLine="0"/>
        <w:rPr>
          <w:rFonts w:eastAsia="NSimSun" w:cs="Times New Roman"/>
          <w:color w:val="auto"/>
          <w:lang w:eastAsia="zh-CN" w:bidi="ar-SA"/>
        </w:rPr>
      </w:pPr>
      <w:r>
        <w:rPr>
          <w:rFonts w:eastAsia="NSimSun" w:cs="Times New Roman"/>
          <w:color w:val="auto"/>
          <w:lang w:eastAsia="zh-CN" w:bidi="ar-SA"/>
        </w:rPr>
      </w:r>
      <w:r>
        <w:rPr>
          <w:rFonts w:eastAsia="NSimSun" w:cs="Times New Roman"/>
          <w:color w:val="auto"/>
          <w:lang w:eastAsia="zh-CN" w:bidi="ar-SA"/>
        </w:rPr>
      </w:r>
      <w:r>
        <w:rPr>
          <w:rFonts w:eastAsia="NSimSun" w:cs="Times New Roman"/>
          <w:color w:val="auto"/>
          <w:lang w:eastAsia="zh-CN" w:bidi="ar-SA"/>
        </w:rPr>
      </w:r>
    </w:p>
    <w:p>
      <w:pPr>
        <w:pStyle w:val="731"/>
        <w:jc w:val="right"/>
        <w:rPr>
          <w:rFonts w:eastAsia="NSimSun" w:cs="Times New Roman"/>
          <w:color w:val="auto"/>
          <w:lang w:eastAsia="zh-CN" w:bidi="ar-SA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</w:t>
      </w: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1.1.</w:t>
      </w: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2</w:t>
      </w:r>
      <w:r>
        <w:rPr>
          <w:rFonts w:eastAsia="NSimSun" w:cs="Times New Roman"/>
          <w:color w:val="auto"/>
          <w:lang w:eastAsia="zh-CN" w:bidi="ar-SA"/>
        </w:rPr>
      </w:r>
      <w:r>
        <w:rPr>
          <w:rFonts w:eastAsia="NSimSun" w:cs="Times New Roman"/>
          <w:color w:val="auto"/>
          <w:lang w:eastAsia="zh-CN" w:bidi="ar-SA"/>
        </w:rPr>
      </w:r>
    </w:p>
    <w:tbl>
      <w:tblPr>
        <w:tblW w:w="10063" w:type="dxa"/>
        <w:tblInd w:w="142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2"/>
        <w:gridCol w:w="879"/>
        <w:gridCol w:w="1080"/>
        <w:gridCol w:w="1225"/>
        <w:gridCol w:w="1103"/>
        <w:gridCol w:w="1347"/>
        <w:gridCol w:w="1737"/>
        <w:gridCol w:w="1698"/>
      </w:tblGrid>
      <w:tr>
        <w:tblPrEx/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Код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вида раз-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решен-ного исполь-зования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59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r>
              <w:t xml:space="preserve">земельного</w:t>
            </w:r>
            <w:r/>
          </w:p>
          <w:p>
            <w:pPr>
              <w:pStyle w:val="732"/>
              <w:ind w:left="0" w:firstLine="0"/>
              <w:jc w:val="center"/>
              <w:spacing w:before="0" w:after="0"/>
              <w:widowControl w:val="off"/>
            </w:pPr>
            <w:r>
              <w:t xml:space="preserve"> </w:t>
            </w:r>
            <w:r>
              <w:t xml:space="preserve">участка (м)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8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Площадь земельного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участка (</w:t>
            </w:r>
            <w:r>
              <w:rPr>
                <w:rFonts w:eastAsia="Calibri" w:cs="Calibri"/>
                <w:color w:val="auto"/>
                <w:lang w:eastAsia="zh-CN" w:bidi="ar-SA"/>
              </w:rPr>
              <w:t xml:space="preserve">кв.м</w:t>
            </w:r>
            <w:r>
              <w:rPr>
                <w:color w:val="auto"/>
              </w:rPr>
              <w:t xml:space="preserve">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7" w:type="dxa"/>
            <w:vMerge w:val="restart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Минималь-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ный отступ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от границ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37" w:type="dxa"/>
            <w:vMerge w:val="restart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Предельное количество этажей/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предельная высота зданий, строений, сооружений 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Merge w:val="restart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Максимальный процент застройки в границах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32"/>
              <w:ind w:left="-28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 xml:space="preserve">(%)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153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79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vMerge w:val="continue"/>
            <w:textDirection w:val="lrTb"/>
            <w:noWrap w:val="false"/>
          </w:tcPr>
          <w:p>
            <w:pPr>
              <w:pStyle w:val="732"/>
              <w:jc w:val="center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center"/>
            <w:vMerge w:val="continue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1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609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2.1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15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100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600***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2500***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(5000)*</w:t>
            </w:r>
            <w:r>
              <w:rPr>
                <w:rFonts w:eastAsia="Calibri" w:cs="Calibri"/>
                <w:sz w:val="22"/>
                <w:szCs w:val="22"/>
                <w:vertAlign w:val="superscript"/>
                <w:lang w:eastAsia="zh-CN" w:bidi="ar-SA"/>
              </w:rPr>
              <w:t xml:space="preserve">4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3*/20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40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2.1.1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1000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4*/НПУ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617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2.2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15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100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600***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2500***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(5000)*</w:t>
            </w:r>
            <w:r>
              <w:rPr>
                <w:rFonts w:eastAsia="Calibri" w:cs="Calibri"/>
                <w:sz w:val="22"/>
                <w:szCs w:val="22"/>
                <w:vertAlign w:val="superscript"/>
                <w:lang w:eastAsia="zh-CN" w:bidi="ar-SA"/>
              </w:rPr>
              <w:t xml:space="preserve">4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3*/20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40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2.3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100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200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2500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3 (0)**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3*/20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40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2.7.1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30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80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1*/4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3.1.1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3.1.2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60</w:t>
            </w:r>
            <w: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3.2.3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60</w:t>
            </w:r>
            <w: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3/20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60</w:t>
            </w:r>
            <w: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3/20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3.4.1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10</w:t>
            </w:r>
            <w:r>
              <w:rPr>
                <w:color w:val="auto"/>
              </w:rPr>
              <w:t xml:space="preserve">00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3.5.1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1000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3.6.1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1000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3.8.1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10</w:t>
            </w:r>
            <w:r>
              <w:rPr>
                <w:color w:val="auto"/>
              </w:rPr>
              <w:t xml:space="preserve">00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3.9.1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1000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4.4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60</w:t>
            </w:r>
            <w: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3/20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5.1.2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10</w:t>
            </w:r>
            <w:r>
              <w:rPr>
                <w:color w:val="auto"/>
              </w:rPr>
              <w:t xml:space="preserve">00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5.1.3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8.3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12.0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center"/>
            <w:textDirection w:val="lrTb"/>
            <w:noWrap w:val="false"/>
          </w:tcPr>
          <w:p>
            <w:pPr>
              <w:pStyle w:val="732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5015" w:hRule="exact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1" w:type="dxa"/>
            <w:vAlign w:val="center"/>
            <w:textDirection w:val="lrTb"/>
            <w:noWrap w:val="false"/>
          </w:tcPr>
          <w:p>
            <w:pPr>
              <w:pStyle w:val="732"/>
              <w:ind w:left="57" w:right="57" w:firstLine="0"/>
              <w:jc w:val="both"/>
              <w:spacing w:before="0" w:after="0"/>
              <w:widowControl w:val="off"/>
              <w:rPr>
                <w:color w:val="auto"/>
              </w:rPr>
            </w:pPr>
            <w:r>
              <w:rPr>
                <w:rFonts w:cs="Times New Roman"/>
              </w:rPr>
              <w:t xml:space="preserve">* 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31"/>
              <w:ind w:left="57" w:right="57" w:firstLine="0"/>
              <w:jc w:val="both"/>
              <w:widowControl w:val="off"/>
              <w:rPr>
                <w:color w:val="auto"/>
              </w:rPr>
              <w:suppressLineNumbers/>
            </w:pPr>
            <w:r>
              <w:rPr>
                <w:rFonts w:cs="Times New Roman"/>
                <w:sz w:val="24"/>
              </w:rPr>
              <w:t xml:space="preserve">** </w:t>
            </w:r>
            <w:r>
              <w:rPr>
                <w:rFonts w:eastAsia="Calibri" w:cs="Calibri"/>
                <w:sz w:val="24"/>
                <w:lang w:eastAsia="zh-CN" w:bidi="ar-SA"/>
              </w:rPr>
              <w:t xml:space="preserve">Минимальный отступ от границ земельного участка между соседними жилыми домами имеющими общие боковые стены без проемов - 0 м.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31"/>
              <w:ind w:left="57" w:right="57" w:firstLine="0"/>
              <w:jc w:val="both"/>
              <w:widowControl w:val="off"/>
              <w:suppressLineNumbers/>
            </w:pPr>
            <w:r>
              <w:rPr>
                <w:rFonts w:eastAsia="Calibri" w:cs="Times New Roman"/>
                <w:sz w:val="24"/>
                <w:lang w:eastAsia="zh-CN" w:bidi="ar-SA"/>
              </w:rPr>
              <w:t xml:space="preserve">*** Предельные (максимальные и минимальные) площади земельных участков, предоставляемых лицам, указанным в частях 1 и 2 статьи 4.1 Закона Рязанской области</w:t>
              <w:br/>
              <w:t xml:space="preserve">от 30.11.2011 № 109-ОЗ «О бесп</w:t>
            </w:r>
            <w:r>
              <w:rPr>
                <w:rFonts w:eastAsia="Calibri" w:cs="Times New Roman"/>
                <w:sz w:val="24"/>
                <w:lang w:eastAsia="zh-CN" w:bidi="ar-SA"/>
              </w:rPr>
              <w:t xml:space="preserve">латном предоставлении в собственность граждан земельных участков на территории Рязанской области» устанавливаются в соответствии с частью 1</w:t>
              <w:br/>
              <w:t xml:space="preserve">статьи 4.3 указанного Закона. Предельные минимальные площади земельных участков, предоставляемых лицам, указанным в </w:t>
            </w:r>
            <w:hyperlink r:id="rId8" w:tooltip="https://login.consultant.ru/link/?req=doc&amp;base=LAW&amp;n=477365&amp;dst=100138" w:history="1">
              <w:r>
                <w:rPr>
                  <w:rFonts w:eastAsia="Calibri" w:cs="Times New Roman"/>
                  <w:sz w:val="24"/>
                  <w:lang w:eastAsia="zh-CN" w:bidi="ar-SA"/>
                </w:rPr>
                <w:t xml:space="preserve">пунктах 4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и </w:t>
            </w:r>
            <w:hyperlink r:id="rId9" w:tooltip="https://login.consultant.ru/link/?req=doc&amp;base=LAW&amp;n=477365&amp;dst=100139" w:history="1">
              <w:r>
                <w:rPr>
                  <w:rFonts w:eastAsia="Calibri" w:cs="Times New Roman"/>
                  <w:sz w:val="24"/>
                  <w:lang w:eastAsia="zh-CN" w:bidi="ar-SA"/>
                </w:rPr>
                <w:t xml:space="preserve">4.1 статьи 5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Закона Российской Федерации от 15.01.1993 № 4301-1 «О статусе Героев Советского Союза, Героев Российской Федерации</w:t>
              <w:br/>
              <w:t xml:space="preserve">и полных кавалеров ордена Славы», устанавливаются в соответствии с пунктом 4 статьи 5 указанного закона».</w:t>
            </w:r>
            <w:r/>
          </w:p>
          <w:p>
            <w:pPr>
              <w:pStyle w:val="731"/>
              <w:ind w:left="57" w:right="57" w:firstLine="0"/>
              <w:jc w:val="both"/>
              <w:widowControl w:val="off"/>
              <w:suppressLineNumbers/>
            </w:pPr>
            <w:r>
              <w:rPr>
                <w:rFonts w:eastAsia="Calibri" w:cs="Times New Roman"/>
                <w:sz w:val="24"/>
                <w:lang w:eastAsia="zh-CN" w:bidi="ar-SA"/>
              </w:rPr>
              <w:t xml:space="preserve">*</w:t>
            </w:r>
            <w:r>
              <w:rPr>
                <w:rFonts w:eastAsia="Calibri" w:cs="Times New Roman"/>
                <w:sz w:val="24"/>
                <w:vertAlign w:val="superscript"/>
                <w:lang w:eastAsia="zh-CN" w:bidi="ar-SA"/>
              </w:rPr>
              <w:t xml:space="preserve">4</w:t>
            </w:r>
            <w:r>
              <w:rPr>
                <w:rFonts w:eastAsia="Calibri" w:cs="Times New Roman"/>
                <w:sz w:val="24"/>
                <w:lang w:eastAsia="zh-CN" w:bidi="ar-SA"/>
              </w:rPr>
              <w:t xml:space="preserve"> Предельная максимальная площадь земельных участков, предоставляемых лицам, указанным в </w:t>
            </w:r>
            <w:hyperlink r:id="rId10" w:tooltip="https://login.consultant.ru/link/?req=doc&amp;base=LAW&amp;n=477365&amp;dst=100138" w:history="1">
              <w:r>
                <w:rPr>
                  <w:rFonts w:eastAsia="Calibri" w:cs="Times New Roman"/>
                  <w:sz w:val="24"/>
                  <w:lang w:eastAsia="zh-CN" w:bidi="ar-SA"/>
                </w:rPr>
                <w:t xml:space="preserve">пунктах 4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и </w:t>
            </w:r>
            <w:hyperlink r:id="rId11" w:tooltip="https://login.consultant.ru/link/?req=doc&amp;base=LAW&amp;n=477365&amp;dst=100139" w:history="1">
              <w:r>
                <w:rPr>
                  <w:rFonts w:eastAsia="Calibri" w:cs="Times New Roman"/>
                  <w:sz w:val="24"/>
                  <w:lang w:eastAsia="zh-CN" w:bidi="ar-SA"/>
                </w:rPr>
                <w:t xml:space="preserve">4.1 статьи 5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Закона Российской Федерации от 15.01.1993</w:t>
              <w:br/>
              <w:t xml:space="preserve">№ 4301-1 «О статусе Героев Советского Союза, Героев Российской Федерации и полных кавалеров ордена Славы» - 5000 кв.м.»</w:t>
            </w:r>
            <w:r/>
          </w:p>
        </w:tc>
      </w:tr>
    </w:tbl>
    <w:p>
      <w:pPr>
        <w:pStyle w:val="655"/>
        <w:jc w:val="left"/>
        <w:spacing w:before="0" w:after="200" w:line="276" w:lineRule="auto"/>
        <w:widowControl/>
      </w:pPr>
      <w:r/>
      <w:bookmarkStart w:id="1" w:name="_GoBack"/>
      <w:r/>
      <w:bookmarkEnd w:id="1"/>
      <w:r/>
      <w:r/>
    </w:p>
    <w:sectPr>
      <w:footnotePr/>
      <w:endnotePr/>
      <w:type w:val="nextPage"/>
      <w:pgSz w:w="11906" w:h="16838" w:orient="portrait"/>
      <w:pgMar w:top="567" w:right="567" w:bottom="567" w:left="1134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iberation Serif">
    <w:panose1 w:val="020206030504050203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toc 2"/>
    <w:basedOn w:val="655"/>
    <w:next w:val="655"/>
    <w:uiPriority w:val="39"/>
    <w:unhideWhenUsed/>
    <w:pPr>
      <w:ind w:left="283" w:right="0" w:firstLine="0"/>
      <w:spacing w:after="57"/>
    </w:pPr>
  </w:style>
  <w:style w:type="paragraph" w:styleId="655" w:default="1">
    <w:name w:val="Normal"/>
    <w:qFormat/>
    <w:pPr>
      <w:jc w:val="left"/>
      <w:spacing w:before="0" w:after="200" w:line="276" w:lineRule="auto"/>
      <w:widowControl/>
    </w:pPr>
    <w:rPr>
      <w:rFonts w:ascii="Arial" w:hAnsi="Arial" w:eastAsia="Arial" w:cs="Arial"/>
      <w:color w:val="auto"/>
      <w:sz w:val="22"/>
      <w:szCs w:val="22"/>
      <w:lang w:val="ru-RU" w:eastAsia="en-US" w:bidi="ar-SA"/>
    </w:rPr>
  </w:style>
  <w:style w:type="paragraph" w:styleId="656">
    <w:name w:val="Heading 1"/>
    <w:basedOn w:val="655"/>
    <w:next w:val="655"/>
    <w:link w:val="7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7">
    <w:name w:val="Heading 2"/>
    <w:basedOn w:val="655"/>
    <w:next w:val="655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8">
    <w:name w:val="Heading 3"/>
    <w:basedOn w:val="655"/>
    <w:next w:val="655"/>
    <w:link w:val="7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9">
    <w:name w:val="Heading 4"/>
    <w:basedOn w:val="655"/>
    <w:next w:val="655"/>
    <w:link w:val="7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655"/>
    <w:next w:val="655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1">
    <w:name w:val="Heading 6"/>
    <w:basedOn w:val="655"/>
    <w:next w:val="655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2">
    <w:name w:val="Heading 7"/>
    <w:basedOn w:val="655"/>
    <w:next w:val="655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3">
    <w:name w:val="Heading 8"/>
    <w:basedOn w:val="655"/>
    <w:next w:val="655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4">
    <w:name w:val="Heading 9"/>
    <w:basedOn w:val="655"/>
    <w:next w:val="655"/>
    <w:link w:val="6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 w:default="1">
    <w:name w:val="Default Paragraph Font"/>
    <w:uiPriority w:val="1"/>
    <w:semiHidden/>
    <w:unhideWhenUsed/>
    <w:qFormat/>
  </w:style>
  <w:style w:type="character" w:styleId="666" w:customStyle="1">
    <w:name w:val="Heading 1 Char"/>
    <w:basedOn w:val="665"/>
    <w:uiPriority w:val="9"/>
    <w:qFormat/>
    <w:rPr>
      <w:rFonts w:ascii="Arial" w:hAnsi="Arial" w:eastAsia="Arial" w:cs="Arial"/>
      <w:sz w:val="40"/>
      <w:szCs w:val="40"/>
    </w:rPr>
  </w:style>
  <w:style w:type="character" w:styleId="667" w:customStyle="1">
    <w:name w:val="Heading 2 Char"/>
    <w:basedOn w:val="665"/>
    <w:uiPriority w:val="9"/>
    <w:qFormat/>
    <w:rPr>
      <w:rFonts w:ascii="Arial" w:hAnsi="Arial" w:eastAsia="Arial" w:cs="Arial"/>
      <w:sz w:val="34"/>
    </w:rPr>
  </w:style>
  <w:style w:type="character" w:styleId="668" w:customStyle="1">
    <w:name w:val="Heading 3 Char"/>
    <w:basedOn w:val="665"/>
    <w:uiPriority w:val="9"/>
    <w:qFormat/>
    <w:rPr>
      <w:rFonts w:ascii="Arial" w:hAnsi="Arial" w:eastAsia="Arial" w:cs="Arial"/>
      <w:sz w:val="30"/>
      <w:szCs w:val="30"/>
    </w:rPr>
  </w:style>
  <w:style w:type="character" w:styleId="669" w:customStyle="1">
    <w:name w:val="Heading 4 Char"/>
    <w:basedOn w:val="665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Heading 5 Char"/>
    <w:basedOn w:val="66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Heading 6 Char"/>
    <w:basedOn w:val="665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Heading 7 Char"/>
    <w:basedOn w:val="66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Heading 8 Char"/>
    <w:basedOn w:val="66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Heading 9 Char"/>
    <w:basedOn w:val="665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5" w:customStyle="1">
    <w:name w:val="Title Char"/>
    <w:basedOn w:val="665"/>
    <w:uiPriority w:val="10"/>
    <w:qFormat/>
    <w:rPr>
      <w:sz w:val="48"/>
      <w:szCs w:val="48"/>
    </w:rPr>
  </w:style>
  <w:style w:type="character" w:styleId="676" w:customStyle="1">
    <w:name w:val="Subtitle Char"/>
    <w:basedOn w:val="665"/>
    <w:uiPriority w:val="11"/>
    <w:qFormat/>
    <w:rPr>
      <w:sz w:val="24"/>
      <w:szCs w:val="24"/>
    </w:rPr>
  </w:style>
  <w:style w:type="character" w:styleId="677" w:customStyle="1">
    <w:name w:val="Quote Char"/>
    <w:uiPriority w:val="29"/>
    <w:qFormat/>
    <w:rPr>
      <w:i/>
    </w:rPr>
  </w:style>
  <w:style w:type="character" w:styleId="678" w:customStyle="1">
    <w:name w:val="Intense Quote Char"/>
    <w:uiPriority w:val="30"/>
    <w:qFormat/>
    <w:rPr>
      <w:i/>
    </w:rPr>
  </w:style>
  <w:style w:type="character" w:styleId="679" w:customStyle="1">
    <w:name w:val="Header Char"/>
    <w:basedOn w:val="665"/>
    <w:uiPriority w:val="99"/>
    <w:qFormat/>
  </w:style>
  <w:style w:type="character" w:styleId="680" w:customStyle="1">
    <w:name w:val="Footer Char"/>
    <w:basedOn w:val="665"/>
    <w:uiPriority w:val="99"/>
    <w:qFormat/>
  </w:style>
  <w:style w:type="character" w:styleId="681" w:customStyle="1">
    <w:name w:val="Caption Char"/>
    <w:basedOn w:val="665"/>
    <w:uiPriority w:val="35"/>
    <w:qFormat/>
    <w:rPr>
      <w:b/>
      <w:bCs/>
      <w:color w:val="5b9bd5" w:themeColor="accent1"/>
      <w:sz w:val="18"/>
      <w:szCs w:val="18"/>
    </w:rPr>
  </w:style>
  <w:style w:type="character" w:styleId="682" w:customStyle="1">
    <w:name w:val="Footnote Text Char"/>
    <w:uiPriority w:val="99"/>
    <w:qFormat/>
    <w:rPr>
      <w:sz w:val="18"/>
    </w:rPr>
  </w:style>
  <w:style w:type="character" w:styleId="683" w:customStyle="1">
    <w:name w:val="Endnote Text Char"/>
    <w:uiPriority w:val="99"/>
    <w:qFormat/>
    <w:rPr>
      <w:sz w:val="20"/>
    </w:rPr>
  </w:style>
  <w:style w:type="character" w:styleId="684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685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6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7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8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89" w:customStyle="1">
    <w:name w:val="Заголовок Знак"/>
    <w:uiPriority w:val="10"/>
    <w:qFormat/>
    <w:rPr>
      <w:sz w:val="48"/>
      <w:szCs w:val="48"/>
    </w:rPr>
  </w:style>
  <w:style w:type="character" w:styleId="690" w:customStyle="1">
    <w:name w:val="Подзаголовок Знак"/>
    <w:uiPriority w:val="11"/>
    <w:qFormat/>
    <w:rPr>
      <w:sz w:val="24"/>
      <w:szCs w:val="24"/>
    </w:rPr>
  </w:style>
  <w:style w:type="character" w:styleId="691" w:customStyle="1">
    <w:name w:val="Цитата 2 Знак"/>
    <w:link w:val="710"/>
    <w:uiPriority w:val="29"/>
    <w:qFormat/>
    <w:rPr>
      <w:i/>
    </w:rPr>
  </w:style>
  <w:style w:type="character" w:styleId="692" w:customStyle="1">
    <w:name w:val="Выделенная цитата Знак"/>
    <w:link w:val="711"/>
    <w:uiPriority w:val="30"/>
    <w:qFormat/>
    <w:rPr>
      <w:i/>
    </w:rPr>
  </w:style>
  <w:style w:type="character" w:styleId="693" w:customStyle="1">
    <w:name w:val="Верхний колонтитул Знак"/>
    <w:uiPriority w:val="99"/>
    <w:qFormat/>
  </w:style>
  <w:style w:type="character" w:styleId="694" w:customStyle="1">
    <w:name w:val="Нижний колонтитул Знак"/>
    <w:uiPriority w:val="99"/>
    <w:qFormat/>
  </w:style>
  <w:style w:type="character" w:styleId="695" w:customStyle="1">
    <w:name w:val="Название объекта Знак"/>
    <w:link w:val="715"/>
    <w:uiPriority w:val="35"/>
    <w:qFormat/>
    <w:rPr>
      <w:b/>
      <w:bCs/>
      <w:color w:val="5b9bd5" w:themeColor="accent1"/>
      <w:sz w:val="18"/>
      <w:szCs w:val="18"/>
    </w:rPr>
  </w:style>
  <w:style w:type="character" w:styleId="696">
    <w:name w:val="Hyperlink"/>
    <w:uiPriority w:val="99"/>
    <w:unhideWhenUsed/>
    <w:rPr>
      <w:color w:val="0563c1" w:themeColor="hyperlink"/>
      <w:u w:val="single"/>
    </w:rPr>
  </w:style>
  <w:style w:type="character" w:styleId="697" w:customStyle="1">
    <w:name w:val="Текст сноски Знак"/>
    <w:uiPriority w:val="99"/>
    <w:qFormat/>
    <w:rPr>
      <w:sz w:val="18"/>
    </w:rPr>
  </w:style>
  <w:style w:type="character" w:styleId="698">
    <w:name w:val="Символ сноски"/>
    <w:uiPriority w:val="99"/>
    <w:unhideWhenUsed/>
    <w:qFormat/>
    <w:rPr>
      <w:vertAlign w:val="superscript"/>
    </w:rPr>
  </w:style>
  <w:style w:type="character" w:styleId="699">
    <w:name w:val="footnote reference"/>
    <w:rPr>
      <w:vertAlign w:val="superscript"/>
    </w:rPr>
  </w:style>
  <w:style w:type="character" w:styleId="700" w:customStyle="1">
    <w:name w:val="Текст концевой сноски Знак"/>
    <w:uiPriority w:val="99"/>
    <w:qFormat/>
    <w:rPr>
      <w:sz w:val="20"/>
    </w:rPr>
  </w:style>
  <w:style w:type="character" w:styleId="70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02">
    <w:name w:val="endnote reference"/>
    <w:rPr>
      <w:vertAlign w:val="superscript"/>
    </w:rPr>
  </w:style>
  <w:style w:type="paragraph" w:styleId="703">
    <w:name w:val="Заголовок"/>
    <w:basedOn w:val="655"/>
    <w:next w:val="704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704">
    <w:name w:val="Body Text"/>
    <w:basedOn w:val="655"/>
    <w:pPr>
      <w:spacing w:before="0" w:after="140" w:line="276" w:lineRule="auto"/>
    </w:pPr>
  </w:style>
  <w:style w:type="paragraph" w:styleId="705">
    <w:name w:val="List"/>
    <w:basedOn w:val="704"/>
    <w:rPr>
      <w:rFonts w:cs="Arial"/>
    </w:rPr>
  </w:style>
  <w:style w:type="paragraph" w:styleId="706">
    <w:name w:val="Caption"/>
    <w:basedOn w:val="655"/>
    <w:link w:val="681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707">
    <w:name w:val="Указатель"/>
    <w:basedOn w:val="655"/>
    <w:qFormat/>
    <w:pPr>
      <w:suppressLineNumbers/>
    </w:pPr>
    <w:rPr>
      <w:rFonts w:cs="Arial"/>
    </w:rPr>
  </w:style>
  <w:style w:type="paragraph" w:styleId="708">
    <w:name w:val="Title"/>
    <w:basedOn w:val="655"/>
    <w:next w:val="655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9">
    <w:name w:val="Subtitle"/>
    <w:basedOn w:val="655"/>
    <w:next w:val="655"/>
    <w:link w:val="690"/>
    <w:uiPriority w:val="11"/>
    <w:qFormat/>
    <w:pPr>
      <w:spacing w:before="200" w:after="200"/>
    </w:pPr>
    <w:rPr>
      <w:sz w:val="24"/>
      <w:szCs w:val="24"/>
    </w:rPr>
  </w:style>
  <w:style w:type="paragraph" w:styleId="710">
    <w:name w:val="Quote"/>
    <w:basedOn w:val="655"/>
    <w:next w:val="655"/>
    <w:link w:val="691"/>
    <w:uiPriority w:val="29"/>
    <w:qFormat/>
    <w:pPr>
      <w:ind w:left="720" w:right="720" w:firstLine="0"/>
    </w:pPr>
    <w:rPr>
      <w:i/>
    </w:rPr>
  </w:style>
  <w:style w:type="paragraph" w:styleId="711">
    <w:name w:val="Intense Quote"/>
    <w:basedOn w:val="655"/>
    <w:next w:val="655"/>
    <w:link w:val="692"/>
    <w:uiPriority w:val="30"/>
    <w:qFormat/>
    <w:pPr>
      <w:ind w:left="720" w:right="720" w:firstLine="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12">
    <w:name w:val="Колонтитул"/>
    <w:basedOn w:val="655"/>
    <w:qFormat/>
  </w:style>
  <w:style w:type="paragraph" w:styleId="713">
    <w:name w:val="Header"/>
    <w:basedOn w:val="655"/>
    <w:link w:val="693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14">
    <w:name w:val="Footer"/>
    <w:basedOn w:val="655"/>
    <w:link w:val="694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15">
    <w:name w:val="Caption"/>
    <w:basedOn w:val="655"/>
    <w:next w:val="655"/>
    <w:link w:val="695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716">
    <w:name w:val="footnote text"/>
    <w:basedOn w:val="655"/>
    <w:link w:val="69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17">
    <w:name w:val="endnote text"/>
    <w:basedOn w:val="655"/>
    <w:link w:val="70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18">
    <w:name w:val="toc 1"/>
    <w:basedOn w:val="655"/>
    <w:next w:val="655"/>
    <w:uiPriority w:val="39"/>
    <w:unhideWhenUsed/>
    <w:pPr>
      <w:spacing w:before="0" w:after="57"/>
    </w:pPr>
  </w:style>
  <w:style w:type="paragraph" w:styleId="719">
    <w:name w:val="toc 3"/>
    <w:basedOn w:val="655"/>
    <w:next w:val="655"/>
    <w:uiPriority w:val="39"/>
    <w:unhideWhenUsed/>
    <w:pPr>
      <w:ind w:left="567" w:firstLine="0"/>
      <w:spacing w:before="0" w:after="57"/>
    </w:pPr>
  </w:style>
  <w:style w:type="paragraph" w:styleId="720">
    <w:name w:val="toc 4"/>
    <w:basedOn w:val="655"/>
    <w:next w:val="655"/>
    <w:uiPriority w:val="39"/>
    <w:unhideWhenUsed/>
    <w:pPr>
      <w:ind w:left="850" w:firstLine="0"/>
      <w:spacing w:before="0" w:after="57"/>
    </w:pPr>
  </w:style>
  <w:style w:type="paragraph" w:styleId="721">
    <w:name w:val="toc 5"/>
    <w:basedOn w:val="655"/>
    <w:next w:val="655"/>
    <w:uiPriority w:val="39"/>
    <w:unhideWhenUsed/>
    <w:pPr>
      <w:ind w:left="1134" w:firstLine="0"/>
      <w:spacing w:before="0" w:after="57"/>
    </w:pPr>
  </w:style>
  <w:style w:type="paragraph" w:styleId="722">
    <w:name w:val="toc 6"/>
    <w:basedOn w:val="655"/>
    <w:next w:val="655"/>
    <w:uiPriority w:val="39"/>
    <w:unhideWhenUsed/>
    <w:pPr>
      <w:ind w:left="1417" w:firstLine="0"/>
      <w:spacing w:before="0" w:after="57"/>
    </w:pPr>
  </w:style>
  <w:style w:type="paragraph" w:styleId="723">
    <w:name w:val="toc 7"/>
    <w:basedOn w:val="655"/>
    <w:next w:val="655"/>
    <w:uiPriority w:val="39"/>
    <w:unhideWhenUsed/>
    <w:pPr>
      <w:ind w:left="1701" w:firstLine="0"/>
      <w:spacing w:before="0" w:after="57"/>
    </w:pPr>
  </w:style>
  <w:style w:type="paragraph" w:styleId="724">
    <w:name w:val="toc 8"/>
    <w:basedOn w:val="655"/>
    <w:next w:val="655"/>
    <w:uiPriority w:val="39"/>
    <w:unhideWhenUsed/>
    <w:pPr>
      <w:ind w:left="1984" w:firstLine="0"/>
      <w:spacing w:before="0" w:after="57"/>
    </w:pPr>
  </w:style>
  <w:style w:type="paragraph" w:styleId="725">
    <w:name w:val="toc 9"/>
    <w:basedOn w:val="655"/>
    <w:next w:val="655"/>
    <w:uiPriority w:val="39"/>
    <w:unhideWhenUsed/>
    <w:pPr>
      <w:ind w:left="2268" w:firstLine="0"/>
      <w:spacing w:before="0" w:after="57"/>
    </w:pPr>
  </w:style>
  <w:style w:type="paragraph" w:styleId="726">
    <w:name w:val="Index Heading"/>
    <w:basedOn w:val="703"/>
  </w:style>
  <w:style w:type="paragraph" w:styleId="727">
    <w:name w:val="TOC Heading"/>
    <w:uiPriority w:val="39"/>
    <w:unhideWhenUsed/>
    <w:pPr>
      <w:jc w:val="left"/>
      <w:spacing w:before="0" w:after="200" w:line="276" w:lineRule="auto"/>
      <w:widowControl/>
    </w:pPr>
    <w:rPr>
      <w:rFonts w:ascii="Arial" w:hAnsi="Arial" w:eastAsia="Arial" w:cs="Arial"/>
      <w:color w:val="auto"/>
      <w:sz w:val="22"/>
      <w:szCs w:val="22"/>
      <w:lang w:val="ru-RU" w:eastAsia="en-US" w:bidi="ar-SA"/>
    </w:rPr>
  </w:style>
  <w:style w:type="paragraph" w:styleId="728">
    <w:name w:val="table of figures"/>
    <w:basedOn w:val="655"/>
    <w:next w:val="655"/>
    <w:uiPriority w:val="99"/>
    <w:unhideWhenUsed/>
    <w:qFormat/>
    <w:pPr>
      <w:spacing w:before="0" w:after="0"/>
    </w:pPr>
  </w:style>
  <w:style w:type="paragraph" w:styleId="729">
    <w:name w:val="No Spacing"/>
    <w:basedOn w:val="655"/>
    <w:uiPriority w:val="1"/>
    <w:qFormat/>
    <w:pPr>
      <w:spacing w:before="0" w:after="0" w:line="240" w:lineRule="auto"/>
    </w:pPr>
  </w:style>
  <w:style w:type="paragraph" w:styleId="730">
    <w:name w:val="List Paragraph"/>
    <w:basedOn w:val="655"/>
    <w:uiPriority w:val="34"/>
    <w:qFormat/>
    <w:pPr>
      <w:contextualSpacing/>
      <w:ind w:left="720" w:firstLine="0"/>
      <w:spacing w:before="0" w:after="200"/>
    </w:pPr>
  </w:style>
  <w:style w:type="paragraph" w:styleId="731" w:customStyle="1">
    <w:name w:val="Основной текст1"/>
    <w:qFormat/>
    <w:pPr>
      <w:ind w:firstLine="709"/>
      <w:jc w:val="left"/>
      <w:spacing w:before="0" w:after="0" w:line="240" w:lineRule="auto"/>
      <w:widowControl w:val="off"/>
    </w:pPr>
    <w:rPr>
      <w:rFonts w:ascii="Times New Roman" w:hAnsi="Times New Roman" w:eastAsia="Tahoma" w:cs="Liberation Serif"/>
      <w:color w:val="000000"/>
      <w:sz w:val="28"/>
      <w:szCs w:val="24"/>
      <w:lang w:val="ru-RU" w:eastAsia="ru-RU" w:bidi="hi-IN"/>
    </w:rPr>
  </w:style>
  <w:style w:type="paragraph" w:styleId="732" w:customStyle="1">
    <w:name w:val="Содержимое таблицы"/>
    <w:qFormat/>
    <w:pPr>
      <w:ind w:left="28" w:firstLine="0"/>
      <w:jc w:val="left"/>
      <w:spacing w:before="100" w:after="100" w:line="240" w:lineRule="auto"/>
      <w:widowControl w:val="off"/>
      <w:suppressLineNumbers/>
    </w:pPr>
    <w:rPr>
      <w:rFonts w:ascii="Times New Roman" w:hAnsi="Times New Roman" w:eastAsia="Tahoma" w:cs="Liberation Serif"/>
      <w:color w:val="000000"/>
      <w:sz w:val="24"/>
      <w:szCs w:val="24"/>
      <w:lang w:val="ru-RU" w:eastAsia="ru-RU" w:bidi="hi-IN"/>
    </w:rPr>
  </w:style>
  <w:style w:type="numbering" w:styleId="733" w:default="1">
    <w:name w:val="No List"/>
    <w:uiPriority w:val="99"/>
    <w:semiHidden/>
    <w:unhideWhenUsed/>
    <w:qFormat/>
  </w:style>
  <w:style w:type="table" w:styleId="734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"/>
    <w:basedOn w:val="73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6" w:customStyle="1">
    <w:name w:val="Table Grid Light"/>
    <w:basedOn w:val="73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7">
    <w:name w:val="Plain Table 1"/>
    <w:basedOn w:val="73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38">
    <w:name w:val="Plain Table 2"/>
    <w:basedOn w:val="73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39">
    <w:name w:val="Plain Table 3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af6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ddeaf6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af6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ddeaf6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 w:customStyle="1">
    <w:name w:val="Grid Table 4 - Accent 1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eebf6" w:fill="deebf6" w:themeFill="accent1" w:themeFillTint="32"/>
      </w:tcPr>
    </w:tblStylePr>
    <w:tblStylePr w:type="band1Vert">
      <w:rPr>
        <w:color w:val="404040"/>
        <w:sz w:val="22"/>
      </w:rPr>
      <w:tcPr>
        <w:shd w:val="clear" w:color="deebf6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68a2d8" w:fill="68a2d8" w:themeFill="accent1" w:themeFillTint="EA"/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sz="4" w:space="0"/>
        </w:tcBorders>
      </w:tcPr>
    </w:tblStylePr>
  </w:style>
  <w:style w:type="table" w:styleId="765" w:customStyle="1">
    <w:name w:val="Grid Table 4 - Accent 2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4" w:fill="f4b184" w:themeFill="accent2" w:themeFillTint="97"/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sz="4" w:space="0"/>
        </w:tcBorders>
      </w:tcPr>
    </w:tblStylePr>
  </w:style>
  <w:style w:type="table" w:styleId="766" w:customStyle="1">
    <w:name w:val="Grid Table 4 - Accent 3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</w:style>
  <w:style w:type="table" w:styleId="767" w:customStyle="1">
    <w:name w:val="Grid Table 4 - Accent 4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5" w:fill="ffd865" w:themeFill="accent4" w:themeFillTint="9A"/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sz="4" w:space="0"/>
        </w:tcBorders>
      </w:tcPr>
    </w:tblStylePr>
  </w:style>
  <w:style w:type="table" w:styleId="768" w:customStyle="1">
    <w:name w:val="Grid Table 4 - Accent 5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9" w:customStyle="1">
    <w:name w:val="Grid Table 4 - Accent 6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0">
    <w:name w:val="Grid Table 5 Dark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0eb" w:fill="b3d0eb" w:themeFill="accent1" w:themeFillTint="75"/>
      </w:tcPr>
    </w:tblStylePr>
    <w:tblStylePr w:type="band1Vert">
      <w:tcPr>
        <w:shd w:val="clear" w:color="b3d0eb" w:fill="b3d0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5b9bd5" w:fill="5b9bd5" w:themeFill="accent1"/>
      </w:tc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cPr>
        <w:shd w:val="clear" w:color="5b9bd5" w:fill="5b9bd5" w:themeFill="accen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fill="f6c3a0" w:themeFill="accent2" w:themeFillTint="75"/>
      </w:tcPr>
    </w:tblStylePr>
    <w:tblStylePr w:type="band1Vert">
      <w:tcPr>
        <w:shd w:val="clear" w:color="f6c3a0" w:fill="f6c3a0" w:themeFill="accent2" w:themeFillTint="75"/>
      </w:tcPr>
    </w:tblStylePr>
    <w:tblStylePr w:type="firstCol">
      <w:rPr>
        <w:b/>
        <w:color w:val="ffffff"/>
        <w:sz w:val="22"/>
      </w:rPr>
      <w:tcPr>
        <w:shd w:val="clear" w:color="ed7d31" w:fill="ed7d31" w:themeFill="accent2"/>
      </w:tc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cPr>
        <w:shd w:val="clear" w:color="ed7d31" w:fill="ed7d31" w:themeFill="accent2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fill="d5d5d5" w:themeFill="accent3" w:themeFillTint="75"/>
      </w:tcPr>
    </w:tblStylePr>
    <w:tblStylePr w:type="band1Vert">
      <w:tcPr>
        <w:shd w:val="clear" w:color="d5d5d5" w:fill="d5d5d5" w:themeFill="accent3" w:themeFillTint="75"/>
      </w:tcPr>
    </w:tblStylePr>
    <w:tblStylePr w:type="firstCol">
      <w:rPr>
        <w:b/>
        <w:color w:val="ffffff"/>
        <w:sz w:val="22"/>
      </w:rPr>
      <w:tcPr>
        <w:shd w:val="clear" w:color="a5a5a5" w:fill="a5a5a5" w:themeFill="accent3"/>
      </w:tc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cPr>
        <w:shd w:val="clear" w:color="a5a5a5" w:fill="a5a5a5" w:themeFill="accent3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e28a" w:fill="ffe28a" w:themeFill="accent4" w:themeFillTint="75"/>
      </w:tcPr>
    </w:tblStylePr>
    <w:tblStylePr w:type="band1Vert">
      <w:tcPr>
        <w:shd w:val="clear" w:color="ffe28a" w:fill="ffe28a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c000" w:fill="ffc000" w:themeFill="accent4"/>
      </w:tc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cPr>
        <w:shd w:val="clear" w:color="ffc000" w:fill="ffc000" w:themeFill="accent4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4" w:fill="a9bee4" w:themeFill="accent5" w:themeFillTint="75"/>
      </w:tcPr>
    </w:tblStylePr>
    <w:tblStylePr w:type="band1Vert">
      <w:tcPr>
        <w:shd w:val="clear" w:color="a9bee4" w:fill="a9be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472c4" w:fill="4472c4" w:themeFill="accent5"/>
      </w:tc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cPr>
        <w:shd w:val="clear" w:color="4472c4" w:fill="4472c4" w:themeFill="accent5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fill="bcdba8" w:themeFill="accent6" w:themeFillTint="75"/>
      </w:tcPr>
    </w:tblStylePr>
    <w:tblStylePr w:type="band1Vert">
      <w:tcPr>
        <w:shd w:val="clear" w:color="bcdba8" w:fill="bc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70ad47" w:fill="70ad47" w:themeFill="accent6"/>
      </w:tc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cPr>
        <w:shd w:val="clear" w:color="70ad47" w:fill="70ad47" w:themeFill="accent6"/>
        <w:tcBorders>
          <w:top w:val="single" w:color="FFFFFF" w:themeColor="light1" w:sz="4" w:space="0"/>
        </w:tcBorders>
      </w:tcPr>
    </w:tblStylePr>
  </w:style>
  <w:style w:type="table" w:styleId="777">
    <w:name w:val="Grid Table 6 Colorful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8" w:customStyle="1">
    <w:name w:val="Grid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9" w:customStyle="1">
    <w:name w:val="Grid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0" w:customStyle="1">
    <w:name w:val="Grid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1" w:customStyle="1">
    <w:name w:val="Grid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2" w:customStyle="1">
    <w:name w:val="Grid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3" w:customStyle="1">
    <w:name w:val="Grid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4">
    <w:name w:val="Grid Table 7 Colorful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auto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sz="4" w:space="0"/>
          <w:right w:val="none" w:color="000000" w:sz="4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auto" w:fill="auto"/>
        <w:tcBorders>
          <w:top w:val="none" w:color="000000" w:sz="4" w:space="0"/>
          <w:left w:val="single" w:color="ACCCEA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ACCCEA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auto" w:fill="auto"/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auto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auto" w:fill="auto"/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auto" w:fill="auto"/>
        <w:tcBorders>
          <w:top w:val="none" w:color="000000" w:sz="4" w:space="0"/>
          <w:left w:val="single" w:color="95AFDD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95AFDD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16429" w:themeColor="accent6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auto" w:fill="auto"/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1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2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3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4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5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6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799" w:customStyle="1">
    <w:name w:val="List Table 2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5f4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d5e5f4" w:fill="d5e5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</w:style>
  <w:style w:type="table" w:styleId="800" w:customStyle="1">
    <w:name w:val="List Table 2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</w:style>
  <w:style w:type="table" w:styleId="801" w:customStyle="1">
    <w:name w:val="List Table 2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</w:style>
  <w:style w:type="table" w:styleId="802" w:customStyle="1">
    <w:name w:val="List Table 2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</w:style>
  <w:style w:type="table" w:styleId="803" w:customStyle="1">
    <w:name w:val="List Table 2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bf0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cfdbf0" w:fill="cfdb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</w:style>
  <w:style w:type="table" w:styleId="804" w:customStyle="1">
    <w:name w:val="List Table 2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daebcf" w:fill="daebc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</w:style>
  <w:style w:type="table" w:styleId="805">
    <w:name w:val="List Table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4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9c9c9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5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da9db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9d08e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5f4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d5e5f4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bf0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cfdbf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daebc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0" w:customStyle="1">
    <w:name w:val="List Table 5 Dark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5b9bd5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1" w:customStyle="1">
    <w:name w:val="List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4b184" w:fill="f4b184" w:themeFill="accent2" w:themeFillTint="97"/>
        <w:tcBorders>
          <w:top w:val="single" w:color="F4B184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2" w:customStyle="1">
    <w:name w:val="List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9c9c9" w:fill="c9c9c9" w:themeFill="accent3" w:themeFillTint="98"/>
        <w:tcBorders>
          <w:top w:val="single" w:color="C9C9C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3" w:customStyle="1">
    <w:name w:val="List Table 5 Dark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d865" w:fill="ffd865" w:themeFill="accent4" w:themeFillTint="9A"/>
        <w:tcBorders>
          <w:top w:val="single" w:color="FFD865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4" w:customStyle="1">
    <w:name w:val="List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8da9db" w:fill="8da9db" w:themeFill="accent5" w:themeFillTint="9A"/>
        <w:tcBorders>
          <w:top w:val="single" w:color="8DA9DB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5" w:customStyle="1">
    <w:name w:val="List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9d08e" w:fill="a9d08e" w:themeFill="accent6" w:themeFillTint="98"/>
        <w:tcBorders>
          <w:top w:val="single" w:color="A9D08E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6">
    <w:name w:val="List Table 6 Colorful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827" w:customStyle="1">
    <w:name w:val="List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8" w:customStyle="1">
    <w:name w:val="List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sz="4" w:space="0"/>
        </w:tcBorders>
      </w:tcPr>
    </w:tblStylePr>
  </w:style>
  <w:style w:type="table" w:styleId="829" w:customStyle="1">
    <w:name w:val="List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sz="4" w:space="0"/>
        </w:tcBorders>
      </w:tcPr>
    </w:tblStylePr>
  </w:style>
  <w:style w:type="table" w:styleId="830" w:customStyle="1">
    <w:name w:val="List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sz="4" w:space="0"/>
        </w:tcBorders>
      </w:tcPr>
    </w:tblStylePr>
  </w:style>
  <w:style w:type="table" w:styleId="831" w:customStyle="1">
    <w:name w:val="List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sz="4" w:space="0"/>
        </w:tcBorders>
      </w:tcPr>
    </w:tblStylePr>
  </w:style>
  <w:style w:type="table" w:styleId="832" w:customStyle="1">
    <w:name w:val="List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sz="4" w:space="0"/>
        </w:tcBorders>
      </w:tcPr>
    </w:tblStylePr>
  </w:style>
  <w:style w:type="table" w:styleId="833">
    <w:name w:val="List Table 7 Colorful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auto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auto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auto" w:fill="auto"/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auto" w:fill="auto"/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auto" w:fill="auto"/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sz="4" w:space="0"/>
          <w:right w:val="none" w:color="000000" w:sz="4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auto" w:fill="auto"/>
        <w:tcBorders>
          <w:top w:val="none" w:color="000000" w:sz="4" w:space="0"/>
          <w:left w:val="single" w:color="8DA9DB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8DA9DB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auto" w:fill="auto"/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ned - Accent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41" w:customStyle="1">
    <w:name w:val="Lined - Accent 1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bdff1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cbdff1" w:fill="cbdff1" w:themeFill="accent1" w:themeFillTint="50"/>
      </w:tcPr>
    </w:tblStylePr>
    <w:tblStylePr w:type="fir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firstRow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cPr>
        <w:shd w:val="clear" w:color="68a2d8" w:fill="68a2d8" w:themeFill="accent1" w:themeFillTint="EA"/>
      </w:tcPr>
    </w:tblStylePr>
  </w:style>
  <w:style w:type="table" w:styleId="842" w:customStyle="1">
    <w:name w:val="Lined - Accent 2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cPr>
        <w:shd w:val="clear" w:color="f4b184" w:fill="f4b184" w:themeFill="accent2" w:themeFillTint="97"/>
      </w:tcPr>
    </w:tblStylePr>
  </w:style>
  <w:style w:type="table" w:styleId="843" w:customStyle="1">
    <w:name w:val="Lined - Accent 3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44" w:customStyle="1">
    <w:name w:val="Lined - Accent 4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d865" w:fill="ffd865" w:themeFill="accent4" w:themeFillTint="9A"/>
      </w:tcPr>
    </w:tblStylePr>
  </w:style>
  <w:style w:type="table" w:styleId="845" w:customStyle="1">
    <w:name w:val="Lined - Accent 5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846" w:customStyle="1">
    <w:name w:val="Lined - Accent 6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847" w:customStyle="1">
    <w:name w:val="Bordered &amp; Lined - Accent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48" w:customStyle="1">
    <w:name w:val="Bordered &amp; Lined - Accent 1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bdff1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cbdff1" w:fill="cbdff1" w:themeFill="accent1" w:themeFillTint="50"/>
      </w:tcPr>
    </w:tblStylePr>
    <w:tblStylePr w:type="fir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firstRow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cPr>
        <w:shd w:val="clear" w:color="68a2d8" w:fill="68a2d8" w:themeFill="accent1" w:themeFillTint="EA"/>
      </w:tcPr>
    </w:tblStylePr>
  </w:style>
  <w:style w:type="table" w:styleId="849" w:customStyle="1">
    <w:name w:val="Bordered &amp; Lined - Accent 2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cPr>
        <w:shd w:val="clear" w:color="f4b184" w:fill="f4b184" w:themeFill="accent2" w:themeFillTint="97"/>
      </w:tcPr>
    </w:tblStylePr>
  </w:style>
  <w:style w:type="table" w:styleId="850" w:customStyle="1">
    <w:name w:val="Bordered &amp; Lined - Accent 3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51" w:customStyle="1">
    <w:name w:val="Bordered &amp; Lined - Accent 4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d865" w:fill="ffd865" w:themeFill="accent4" w:themeFillTint="9A"/>
      </w:tcPr>
    </w:tblStylePr>
  </w:style>
  <w:style w:type="table" w:styleId="852" w:customStyle="1">
    <w:name w:val="Bordered &amp; Lined - Accent 5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853" w:customStyle="1">
    <w:name w:val="Bordered &amp; Lined - Accent 6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854" w:customStyle="1">
    <w:name w:val="Bordered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855" w:customStyle="1">
    <w:name w:val="Bordered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6" w:customStyle="1">
    <w:name w:val="Bordered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4B184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4B184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4B184" w:themeColor="accent2" w:sz="12" w:space="0"/>
        </w:tcBorders>
      </w:tcPr>
    </w:tblStylePr>
  </w:style>
  <w:style w:type="table" w:styleId="857" w:customStyle="1">
    <w:name w:val="Bordered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9C9C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9C9C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9C9C9" w:themeColor="accent3" w:sz="12" w:space="0"/>
        </w:tcBorders>
      </w:tcPr>
    </w:tblStylePr>
  </w:style>
  <w:style w:type="table" w:styleId="858" w:customStyle="1">
    <w:name w:val="Bordered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FD865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FD865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D865" w:themeColor="accent4" w:sz="12" w:space="0"/>
        </w:tcBorders>
      </w:tcPr>
    </w:tblStylePr>
  </w:style>
  <w:style w:type="table" w:styleId="859" w:customStyle="1">
    <w:name w:val="Bordered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DA9DB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DA9DB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DA9DB" w:themeColor="accent5" w:sz="12" w:space="0"/>
        </w:tcBorders>
      </w:tcPr>
    </w:tblStylePr>
  </w:style>
  <w:style w:type="table" w:styleId="860" w:customStyle="1">
    <w:name w:val="Bordered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A9D08E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A9D08E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9D08E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477365&amp;dst=100138" TargetMode="External"/><Relationship Id="rId9" Type="http://schemas.openxmlformats.org/officeDocument/2006/relationships/hyperlink" Target="https://login.consultant.ru/link/?req=doc&amp;base=LAW&amp;n=477365&amp;dst=100139" TargetMode="External"/><Relationship Id="rId10" Type="http://schemas.openxmlformats.org/officeDocument/2006/relationships/hyperlink" Target="https://login.consultant.ru/link/?req=doc&amp;base=LAW&amp;n=477365&amp;dst=100138" TargetMode="External"/><Relationship Id="rId11" Type="http://schemas.openxmlformats.org/officeDocument/2006/relationships/hyperlink" Target="https://login.consultant.ru/link/?req=doc&amp;base=LAW&amp;n=477365&amp;dst=10013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div</cp:lastModifiedBy>
  <cp:revision>10</cp:revision>
  <dcterms:created xsi:type="dcterms:W3CDTF">2025-06-18T16:22:00Z</dcterms:created>
  <dcterms:modified xsi:type="dcterms:W3CDTF">2025-12-12T11:22:29Z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