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88" w:lineRule="auto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990600"/>
                <wp:effectExtent l="19050" t="0" r="0" b="0"/>
                <wp:docPr id="1" name="Рисунок 1" descr="Gerb_69K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_69Kb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93345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5pt;height:78.0pt;mso-wrap-distance-left:0.0pt;mso-wrap-distance-top:0.0pt;mso-wrap-distance-right:0.0pt;mso-wrap-distance-bottom:0.0pt;" stroked="f" strokeweight="0.75pt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jc w:val="center"/>
        <w:spacing w:line="320" w:lineRule="exact"/>
      </w:pPr>
      <w:r/>
      <w:r/>
    </w:p>
    <w:p>
      <w:pPr>
        <w:pStyle w:val="912"/>
        <w:spacing w:line="240" w:lineRule="auto"/>
        <w:outlineLvl w:val="0"/>
      </w:pPr>
      <w:r>
        <w:t xml:space="preserve">МИНИСТЕРСТВО ФИНАНСОВ</w:t>
      </w:r>
      <w:r/>
    </w:p>
    <w:p>
      <w:pPr>
        <w:pStyle w:val="912"/>
        <w:spacing w:line="240" w:lineRule="auto"/>
        <w:outlineLvl w:val="0"/>
      </w:pPr>
      <w:r>
        <w:t xml:space="preserve">РЯЗАНСКОЙ  ОБЛАСТИ</w:t>
      </w:r>
      <w:r/>
    </w:p>
    <w:p>
      <w:pPr>
        <w:jc w:val="center"/>
        <w:spacing w:line="320" w:lineRule="exact"/>
      </w:pPr>
      <w:r/>
      <w:r/>
    </w:p>
    <w:p>
      <w:pPr>
        <w:jc w:val="center"/>
        <w:rPr>
          <w:b/>
          <w:spacing w:val="80"/>
          <w:sz w:val="44"/>
          <w:szCs w:val="44"/>
        </w:rPr>
      </w:pPr>
      <w:r>
        <w:rPr>
          <w:b/>
          <w:spacing w:val="80"/>
          <w:sz w:val="44"/>
          <w:szCs w:val="44"/>
        </w:rPr>
        <w:t xml:space="preserve">ПОСТАНОВЛЕНИЕ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16 декабря 2025 г. № 18</w:t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center"/>
        <w:spacing w:line="240" w:lineRule="auto"/>
      </w:pPr>
      <w:r/>
      <w:bookmarkStart w:id="0" w:name="undefined"/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некоторые нормативные правовые акты министерства финансов Рязанской области</w:t>
      </w:r>
      <w:bookmarkEnd w:id="0"/>
      <w:r>
        <w:rPr>
          <w:sz w:val="28"/>
          <w:szCs w:val="28"/>
        </w:rPr>
      </w:r>
      <w:r/>
    </w:p>
    <w:p>
      <w:pPr>
        <w:ind w:firstLine="709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финансов Рязанской области постановляет:</w:t>
      </w:r>
      <w:r>
        <w:rPr>
          <w:sz w:val="28"/>
          <w:szCs w:val="28"/>
        </w:rPr>
      </w:r>
      <w:r/>
    </w:p>
    <w:p>
      <w:pPr>
        <w:pStyle w:val="918"/>
        <w:numPr>
          <w:ilvl w:val="0"/>
          <w:numId w:val="27"/>
        </w:numPr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Внести в приложение к постановлению министерства финансов</w:t>
      </w:r>
      <w:r>
        <w:rPr>
          <w:sz w:val="28"/>
          <w:szCs w:val="28"/>
          <w:highlight w:val="none"/>
        </w:rPr>
        <w:t xml:space="preserve"> Рязанской области от 10 декабря 2</w:t>
      </w:r>
      <w:r>
        <w:rPr>
          <w:sz w:val="28"/>
          <w:szCs w:val="28"/>
          <w:highlight w:val="none"/>
        </w:rPr>
        <w:t xml:space="preserve">010 г. № 14 «О Порядке проведения антикоррупционной экспертизы проектов нормативных правовых актов и нормативных правовых актов министерства финансов Рязанской области»       (в редакции постановлений министерства финансов Рязанской области             от </w:t>
      </w:r>
      <w:r>
        <w:rPr>
          <w:sz w:val="28"/>
          <w:szCs w:val="28"/>
          <w:highlight w:val="none"/>
        </w:rPr>
        <w:t xml:space="preserve">18.11.2013 № 10, от 19.07.2019 № 13, от 16.08.2021 № 8) </w:t>
      </w:r>
      <w:r>
        <w:rPr>
          <w:sz w:val="28"/>
          <w:szCs w:val="28"/>
          <w:highlight w:val="none"/>
        </w:rPr>
        <w:t xml:space="preserve">следующее изменение:</w:t>
      </w:r>
      <w:r>
        <w:rPr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абзацем первом пункта 3 слова «</w:t>
      </w:r>
      <w:r>
        <w:rPr>
          <w:sz w:val="28"/>
          <w:szCs w:val="28"/>
          <w:highlight w:val="none"/>
        </w:rPr>
        <w:t xml:space="preserve">отдел автоматизации финансовой системы</w:t>
      </w:r>
      <w:r>
        <w:rPr>
          <w:sz w:val="28"/>
          <w:szCs w:val="28"/>
          <w:highlight w:val="none"/>
        </w:rPr>
        <w:t xml:space="preserve">» заменить словами «управление информационного обеспечения».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2. Внести в приложение № 1 к постановлению </w:t>
      </w:r>
      <w:r>
        <w:rPr>
          <w:sz w:val="28"/>
          <w:szCs w:val="28"/>
          <w:highlight w:val="none"/>
        </w:rPr>
        <w:t xml:space="preserve">министерства финансов Рязанской области от 26 декабря 2012 г. № 25 «Об  утверждении Порядка осуществления мониторинга и</w:t>
      </w:r>
      <w:r>
        <w:rPr>
          <w:sz w:val="28"/>
          <w:szCs w:val="28"/>
          <w:highlight w:val="none"/>
        </w:rPr>
        <w:t xml:space="preserve"> оценки качества управления муниципальными финансами и о предоставлении иных дотаций из областного бюджета для стимулирования органов местно</w:t>
      </w:r>
      <w:r>
        <w:rPr>
          <w:sz w:val="28"/>
          <w:szCs w:val="28"/>
          <w:highlight w:val="none"/>
        </w:rPr>
        <w:t xml:space="preserve">го самоуправления муниципальных районов, муниципальных округов и городских округов Рязанской области к повышению эффективности бюджетных расходов местных бюджетов» (в редакции постановлений </w:t>
      </w:r>
      <w:r>
        <w:rPr>
          <w:sz w:val="28"/>
          <w:szCs w:val="28"/>
          <w:highlight w:val="none"/>
        </w:rPr>
        <w:t xml:space="preserve">министерства финансов Рязанской области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12.02.2014 № 1, от 23.12.2014 № 16, </w:t>
      </w:r>
      <w:r>
        <w:rPr>
          <w:sz w:val="28"/>
          <w:szCs w:val="28"/>
          <w:highlight w:val="none"/>
        </w:rPr>
        <w:t xml:space="preserve">от 24.04.2015 № 9, от 03.10.2018 № 10, от 19.06.2019 № 7, </w:t>
      </w:r>
      <w:r>
        <w:rPr>
          <w:sz w:val="28"/>
          <w:szCs w:val="28"/>
          <w:highlight w:val="none"/>
        </w:rPr>
        <w:t xml:space="preserve">от 30.06.2020 № 20, от 29.12.2021 № 21, от 29.12.2022 № 19, </w:t>
      </w:r>
      <w:r>
        <w:rPr>
          <w:sz w:val="28"/>
          <w:szCs w:val="28"/>
          <w:highlight w:val="none"/>
        </w:rPr>
        <w:t xml:space="preserve">от 31.01.2024 № 3, от 31.01.2025 № 7</w:t>
      </w:r>
      <w:r>
        <w:rPr>
          <w:sz w:val="28"/>
          <w:szCs w:val="28"/>
        </w:rPr>
        <w:t xml:space="preserve">) следующее изменение: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пункте 2 слова </w:t>
      </w:r>
      <w:r>
        <w:rPr>
          <w:sz w:val="28"/>
          <w:szCs w:val="28"/>
          <w:highlight w:val="none"/>
        </w:rPr>
        <w:t xml:space="preserve">«отделом автоматизации финансовой системы»</w:t>
      </w:r>
      <w:r>
        <w:rPr>
          <w:sz w:val="28"/>
          <w:szCs w:val="28"/>
          <w:highlight w:val="none"/>
        </w:rPr>
        <w:t xml:space="preserve"> заменить словами «управлением </w:t>
      </w:r>
      <w:r>
        <w:rPr>
          <w:sz w:val="28"/>
          <w:szCs w:val="28"/>
          <w:highlight w:val="none"/>
        </w:rPr>
        <w:t xml:space="preserve">информационного обеспечения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3. Внести в приложение № 1 к пос</w:t>
      </w:r>
      <w:r>
        <w:rPr>
          <w:sz w:val="28"/>
          <w:szCs w:val="28"/>
          <w:highlight w:val="none"/>
        </w:rPr>
        <w:t xml:space="preserve">тановлению министерства финансов Рязанской области  от 25 декабря 2014 г. № 18 «О комиссии министерства финансов Рязанской области по соблюдению требований к служебному поведению государственных гражданских служащих Рязанской области и урегулированию конфл</w:t>
      </w:r>
      <w:r>
        <w:rPr>
          <w:sz w:val="28"/>
          <w:szCs w:val="28"/>
          <w:highlight w:val="none"/>
        </w:rPr>
        <w:t xml:space="preserve">икта интересов» (в редакции постановлений министерства финансов Рязанской области от </w:t>
      </w:r>
      <w:r>
        <w:rPr>
          <w:sz w:val="28"/>
          <w:szCs w:val="28"/>
          <w:highlight w:val="none"/>
        </w:rPr>
        <w:t xml:space="preserve">13.04.2015 № 8, от 22.03.2016    № 3, от 15.01.2018 № 2, </w:t>
      </w:r>
      <w:r>
        <w:rPr>
          <w:sz w:val="28"/>
          <w:szCs w:val="28"/>
          <w:highlight w:val="none"/>
        </w:rPr>
        <w:t xml:space="preserve">от 08.10.2019 № 16, от 02.03.2020 № 5, от 28.12.2021   № 18, </w:t>
      </w:r>
      <w:r>
        <w:rPr>
          <w:sz w:val="28"/>
          <w:szCs w:val="28"/>
          <w:highlight w:val="none"/>
        </w:rPr>
        <w:t xml:space="preserve">от 28.07.2022 № 7, от 27.12.2022 № 16, от 19.10.2023 № 9, </w:t>
      </w:r>
      <w:r>
        <w:rPr>
          <w:sz w:val="28"/>
          <w:szCs w:val="28"/>
          <w:highlight w:val="none"/>
        </w:rPr>
        <w:t xml:space="preserve">от 16.05.2024 № 7, от 14.01.2025 № 3, от 10.03.2025 № 9</w:t>
      </w:r>
      <w:r>
        <w:rPr>
          <w:sz w:val="28"/>
          <w:szCs w:val="28"/>
          <w:highlight w:val="none"/>
        </w:rPr>
        <w:t xml:space="preserve">) следующее изменение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включить в состав </w:t>
      </w:r>
      <w:r>
        <w:rPr>
          <w:sz w:val="28"/>
          <w:szCs w:val="28"/>
          <w:highlight w:val="none"/>
        </w:rPr>
        <w:t xml:space="preserve">комиссии по соблюдению требований к служебному поведению государственных гражданских служащих министерства финансов Рязанской области и урегулированию конфликта интересов</w:t>
      </w:r>
      <w:r>
        <w:rPr>
          <w:sz w:val="28"/>
          <w:szCs w:val="28"/>
          <w:highlight w:val="none"/>
        </w:rPr>
        <w:t xml:space="preserve"> Кацубу Евгения Евгеньевича – члена Общественного совета при министерстве финансов Рязанской области, исключив Кашаева А.А.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4. </w:t>
      </w:r>
      <w:r>
        <w:rPr>
          <w:sz w:val="28"/>
          <w:szCs w:val="28"/>
        </w:rPr>
        <w:t xml:space="preserve">Внести в постановление министерства финансов Рязанской области    от 21 декабря 2018 г. № 15 «Об утверждении Перечня должностей государственной гражданской службы Рязанской области в мини</w:t>
      </w:r>
      <w:r>
        <w:rPr>
          <w:sz w:val="28"/>
          <w:szCs w:val="28"/>
        </w:rPr>
        <w:t xml:space="preserve">стерстве финансов Рязанской области, при замещении которых государственные гражда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</w:t>
      </w:r>
      <w:r>
        <w:rPr>
          <w:sz w:val="28"/>
          <w:szCs w:val="28"/>
        </w:rPr>
        <w:t xml:space="preserve">летних детей» (в редак</w:t>
      </w:r>
      <w:r>
        <w:rPr>
          <w:sz w:val="28"/>
          <w:szCs w:val="28"/>
        </w:rPr>
        <w:t xml:space="preserve">ции постановлений министерства финансов Рязанской области от 26.07.2019 № 14, от 08.10.2019  № 16, от 02.03.2020 № 5, от 03.12.2020 № 26, от 16.08.2021 № 8, от 28.12.2021 № 19, от 27.12.2022 № 16, от 05.12.2023 № 15, от 28.08.2024 № 10) изменение, изложив </w:t>
      </w:r>
      <w:r>
        <w:rPr>
          <w:sz w:val="28"/>
          <w:szCs w:val="28"/>
        </w:rPr>
        <w:t xml:space="preserve">приложение в новой редакции согласно приложению № 1  к настоящему постановлению.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both"/>
        <w:spacing w:line="240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highlight w:val="none"/>
        </w:rPr>
        <w:t xml:space="preserve">Внести в </w:t>
      </w:r>
      <w:r>
        <w:rPr>
          <w:sz w:val="28"/>
          <w:szCs w:val="28"/>
          <w:highlight w:val="none"/>
        </w:rPr>
        <w:t xml:space="preserve">постановление министерства финансов Рязанской области    от 24 июня 2019 г. № 8 «Об утверждении перечня должностей государственной гражданской службы Рязанской области в министерстве финансов Рязанской области, при замещении которых запрещается открывать и</w:t>
      </w:r>
      <w:r>
        <w:rPr>
          <w:sz w:val="28"/>
          <w:szCs w:val="28"/>
          <w:highlight w:val="none"/>
        </w:rPr>
        <w:t xml:space="preserve"> имет</w:t>
      </w:r>
      <w:r>
        <w:rPr>
          <w:sz w:val="28"/>
          <w:szCs w:val="28"/>
          <w:highlight w:val="none"/>
        </w:rPr>
        <w:t xml:space="preserve">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   (в редакции постановлений министерств</w:t>
      </w:r>
      <w:r>
        <w:rPr>
          <w:sz w:val="28"/>
          <w:szCs w:val="28"/>
          <w:highlight w:val="none"/>
        </w:rPr>
        <w:t xml:space="preserve">а финансов Рязанской области             от 08.10.2019 № 16, от 16.08.2021 № 8, от 27.12.2022 № 16, от 18.04.2024 № 6,  от 28.08.2024 № 10) изменение, изложив приложение в новой редакции согласно приложению № 2 к настоящему постановлению.</w:t>
      </w:r>
      <w:r>
        <w:rPr>
          <w:sz w:val="28"/>
          <w:szCs w:val="28"/>
          <w:highlight w:val="none"/>
        </w:rPr>
      </w:r>
      <w:r/>
    </w:p>
    <w:p>
      <w:pPr>
        <w:ind w:left="709" w:right="0" w:firstLine="0"/>
        <w:jc w:val="both"/>
        <w:spacing w:line="276" w:lineRule="auto"/>
        <w:tabs>
          <w:tab w:val="left" w:pos="142" w:leader="none"/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М.А. Наумова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                                   Приложение № 1 </w:t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к постановлению министерства 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     финансов Рязанской области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     от </w:t>
      </w:r>
      <w:r>
        <w:rPr>
          <w:sz w:val="28"/>
          <w:szCs w:val="28"/>
        </w:rPr>
        <w:t xml:space="preserve">16 декабря 2025 </w:t>
      </w:r>
      <w:r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«Приложение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к постановлению министерства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финансов Рязанской области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от 21 декабря 2018 г. № 15</w:t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ind w:left="0" w:right="0" w:firstLine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Перечень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должностей </w:t>
      </w:r>
      <w:r>
        <w:rPr>
          <w:sz w:val="28"/>
          <w:szCs w:val="28"/>
        </w:rPr>
        <w:t xml:space="preserve">государственной гражданской службы Рязанской области в мини</w:t>
      </w:r>
      <w:r>
        <w:rPr>
          <w:sz w:val="28"/>
          <w:szCs w:val="28"/>
        </w:rPr>
        <w:t xml:space="preserve">стерстве финансов Рязанской области, при замещении которых государственные гражда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</w:t>
      </w:r>
      <w:r>
        <w:rPr>
          <w:sz w:val="28"/>
          <w:szCs w:val="28"/>
        </w:rPr>
        <w:t xml:space="preserve">летних детей</w:t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ind w:left="0" w:right="0" w:firstLine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18"/>
        <w:ind w:left="0" w:right="0" w:firstLine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I. Должности государственной гражданской службы</w:t>
      </w:r>
      <w:r/>
    </w:p>
    <w:p>
      <w:pPr>
        <w:pStyle w:val="918"/>
        <w:ind w:left="0" w:right="0" w:firstLine="709"/>
        <w:jc w:val="center"/>
        <w:tabs>
          <w:tab w:val="left" w:pos="1134" w:leader="none"/>
        </w:tabs>
      </w:pPr>
      <w:r>
        <w:rPr>
          <w:sz w:val="28"/>
          <w:szCs w:val="28"/>
        </w:rPr>
      </w:r>
      <w:r/>
    </w:p>
    <w:p>
      <w:pPr>
        <w:pStyle w:val="918"/>
        <w:ind w:left="0" w:right="0" w:firstLine="709"/>
        <w:jc w:val="both"/>
        <w:tabs>
          <w:tab w:val="left" w:pos="1134" w:leader="none"/>
        </w:tabs>
      </w:pP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олжности государственной гражданской службы Рязанской области, включенные в Реестр должностей государственной гражданской службы Рязанской области в соответствии с приложением 1 к Закону Рязанской области от 01.06.2005 № 46-ОЗ «О государственной гражданско</w:t>
      </w:r>
      <w:r>
        <w:rPr>
          <w:sz w:val="28"/>
          <w:szCs w:val="28"/>
        </w:rPr>
        <w:t xml:space="preserve">й службе Рязанской области»:</w:t>
      </w:r>
      <w:r/>
    </w:p>
    <w:p>
      <w:pPr>
        <w:pStyle w:val="918"/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должности, отнесенные к высшей, главной группе должностей категории «руководители», замещаемые на неопределенный срок полномочий: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</w:r>
      <w:r/>
    </w:p>
    <w:p>
      <w:pPr>
        <w:pStyle w:val="918"/>
        <w:ind w:left="0" w:righ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</w:t>
      </w:r>
      <w:r/>
    </w:p>
    <w:tbl>
      <w:tblPr>
        <w:tblStyle w:val="922"/>
        <w:tblW w:w="0" w:type="auto"/>
        <w:tblLook w:val="04A0" w:firstRow="1" w:lastRow="0" w:firstColumn="1" w:lastColumn="0" w:noHBand="0" w:noVBand="1"/>
      </w:tblPr>
      <w:tblGrid>
        <w:gridCol w:w="675"/>
        <w:gridCol w:w="9180"/>
      </w:tblGrid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78"/>
        </w:trPr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управление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исполнения бюджетного финансирования и свода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бюджетного управления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62"/>
        </w:trPr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мониторинга исполнения бюджетов и управления государственным долгом бюджетного управления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отраслевого финансирования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45"/>
        </w:trPr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60"/>
        </w:trPr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финансирования органов государственного управления, сферы безопасности и защиты населения управления отраслевого финансирования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523"/>
        </w:trPr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финансирования непроизводственной сферы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отраслевого финансирования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4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5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9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66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финансирования производственной сферы и агропромышленного комплекса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отраслевого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9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3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7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5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работе с муниципалитетами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9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14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межбюджетных отношений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работе с муниципалитетами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8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7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анализа исполнения местных бюджетов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муниципалитетами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3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32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Управление учета и отчетности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11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36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Отдел бухгалтерского учета и консолидированной отчетности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управления учета и отчетности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5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9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Начальник сектора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44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Отдел учета кассового исполнения областного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управления учета и отчетности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5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5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сопровождения информационных систем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информационного обеспечения 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2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9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43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информационной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информационного обеспечения 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0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99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реализации специальных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2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8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87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правовой и кадровой работы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3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5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5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69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4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2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обеспечения государственного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6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8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90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обеспечения исполнения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8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99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33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информационно-аналитической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4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3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77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доходов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8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2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center"/>
      </w:pPr>
      <w:r>
        <w:rPr>
          <w:sz w:val="28"/>
          <w:szCs w:val="28"/>
        </w:rPr>
        <w:t xml:space="preserve">II. Другие должности государственной гражданской службы,</w:t>
      </w:r>
      <w:r/>
    </w:p>
    <w:p>
      <w:pPr>
        <w:jc w:val="center"/>
      </w:pPr>
      <w:r>
        <w:rPr>
          <w:sz w:val="28"/>
          <w:szCs w:val="28"/>
        </w:rPr>
        <w:t xml:space="preserve">замещение которых связано с коррупционными рисками</w:t>
      </w:r>
      <w:r/>
    </w:p>
    <w:p>
      <w:pPr>
        <w:jc w:val="both"/>
      </w:pPr>
      <w:r>
        <w:rPr>
          <w:sz w:val="28"/>
          <w:szCs w:val="28"/>
        </w:rPr>
      </w:r>
      <w:r/>
    </w:p>
    <w:p>
      <w:pPr>
        <w:ind w:left="0" w:right="1" w:firstLine="709"/>
        <w:jc w:val="both"/>
      </w:pPr>
      <w:r>
        <w:rPr>
          <w:sz w:val="28"/>
          <w:szCs w:val="28"/>
        </w:rPr>
        <w:t xml:space="preserve">Должности государственной гражданской службы, исполнение обязанностей по которым предусматривает:</w:t>
      </w:r>
      <w:r/>
    </w:p>
    <w:p>
      <w:pPr>
        <w:ind w:left="0" w:right="1" w:firstLine="709"/>
        <w:jc w:val="both"/>
      </w:pPr>
      <w:r>
        <w:rPr>
          <w:sz w:val="28"/>
          <w:szCs w:val="28"/>
        </w:rPr>
        <w:t xml:space="preserve">осуществление государственных закупок либо выдачу лицензий и разрешений;</w:t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хранение и распределение материально-технических ресурсов.</w:t>
      </w:r>
      <w:r>
        <w:rPr>
          <w:sz w:val="28"/>
          <w:szCs w:val="28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tbl>
      <w:tblPr>
        <w:tblStyle w:val="922"/>
        <w:tblW w:w="0" w:type="auto"/>
        <w:tblLook w:val="04A0" w:firstRow="1" w:lastRow="0" w:firstColumn="1" w:lastColumn="0" w:noHBand="0" w:noVBand="1"/>
      </w:tblPr>
      <w:tblGrid>
        <w:gridCol w:w="675"/>
        <w:gridCol w:w="9180"/>
      </w:tblGrid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управление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мониторинга исполнения бюджетов и управления государственным долгом бюджетного управления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учета и отчетности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Отдел бухгалтерского учета и консолидированной отчетности 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управления учета и отчетности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17"/>
        </w:trPr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55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38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обеспечению информационной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информационного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91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Консультант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26"/>
        </w:trPr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правовой и кадровой и работы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2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18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41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4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7</w:t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(аудитор)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31"/>
        </w:trPr>
        <w:tc>
          <w:tcPr>
            <w:gridSpan w:val="2"/>
            <w:tcW w:w="985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8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5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985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обеспечения государственного заказа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62"/>
        </w:trPr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left="0" w:right="1" w:firstLine="709"/>
        <w:jc w:val="righ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                                   Приложение № 2 </w:t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к постановлению министерства 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     финансов Рязанской области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16 декабря 2025 </w:t>
      </w:r>
      <w:r>
        <w:rPr>
          <w:sz w:val="28"/>
          <w:szCs w:val="28"/>
        </w:rPr>
        <w:t xml:space="preserve">г. № 18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«Приложение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</w:pPr>
      <w:r>
        <w:rPr>
          <w:sz w:val="28"/>
          <w:szCs w:val="28"/>
        </w:rPr>
        <w:t xml:space="preserve">                                                                         к постановлению министерства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финансов Рязанской области</w:t>
      </w:r>
      <w:r>
        <w:rPr>
          <w:sz w:val="28"/>
          <w:szCs w:val="28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                                                                                    от </w:t>
      </w:r>
      <w:r>
        <w:rPr>
          <w:sz w:val="28"/>
          <w:szCs w:val="28"/>
          <w:highlight w:val="none"/>
        </w:rPr>
        <w:t xml:space="preserve">24 июня 2019 г. № 8</w:t>
      </w:r>
      <w:r>
        <w:rPr>
          <w:sz w:val="28"/>
          <w:szCs w:val="28"/>
          <w:highlight w:val="none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18"/>
        <w:ind w:left="709"/>
        <w:jc w:val="center"/>
        <w:tabs>
          <w:tab w:val="left" w:pos="11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Перечень                                                                                 </w:t>
      </w:r>
      <w:r>
        <w:rPr>
          <w:highlight w:val="none"/>
        </w:rPr>
      </w:r>
      <w:r/>
    </w:p>
    <w:p>
      <w:pPr>
        <w:ind w:left="0" w:right="1"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олжностей государственной гражданской службы Рязанской области в министерстве финансов Рязанской области, при замещении которых запрещается открывать и иметь счета (вклады), хранить наличные денежные средства и ценности в иностранных банках, расположенных </w:t>
      </w:r>
      <w:r>
        <w:rPr>
          <w:sz w:val="28"/>
          <w:szCs w:val="28"/>
          <w:highlight w:val="none"/>
        </w:rPr>
        <w:t xml:space="preserve">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both"/>
      </w:pPr>
      <w:r>
        <w:rPr>
          <w:sz w:val="28"/>
          <w:szCs w:val="28"/>
          <w:highlight w:val="none"/>
        </w:rPr>
        <w:t xml:space="preserve">Д</w:t>
      </w:r>
      <w:r>
        <w:rPr>
          <w:sz w:val="28"/>
          <w:szCs w:val="28"/>
          <w:highlight w:val="none"/>
        </w:rPr>
        <w:t xml:space="preserve">олжности государственной гражданской службы Рязанской области, включенные в Реестр должностей государственной гражданской службы Рязанской области в соответствии с приложением № 1 к Закону Рязанской области от 1 июня 2005 г. № 46-ОЗ «О государственной граж</w:t>
      </w:r>
      <w:r>
        <w:rPr>
          <w:sz w:val="28"/>
          <w:szCs w:val="28"/>
          <w:highlight w:val="none"/>
        </w:rPr>
        <w:t xml:space="preserve">данской службе Рязанской области», учрежденные в министерстве финансов Рязанской области:</w:t>
      </w:r>
      <w:r/>
    </w:p>
    <w:p>
      <w:pPr>
        <w:ind w:left="0" w:right="1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отнесенные к высшей группе должностей категории «руководители», замещаемые на неопределенный срок полномочий:</w:t>
      </w:r>
      <w:r>
        <w:rPr>
          <w:sz w:val="28"/>
          <w:szCs w:val="28"/>
          <w:highlight w:val="none"/>
        </w:rPr>
      </w:r>
      <w:r/>
    </w:p>
    <w:p>
      <w:pPr>
        <w:ind w:left="0" w:right="1" w:firstLine="709"/>
        <w:jc w:val="center"/>
      </w:pPr>
      <w:r>
        <w:rPr>
          <w:sz w:val="28"/>
          <w:szCs w:val="28"/>
          <w:highlight w:val="none"/>
        </w:rPr>
      </w:r>
      <w:r/>
    </w:p>
    <w:tbl>
      <w:tblPr>
        <w:tblStyle w:val="922"/>
        <w:tblW w:w="0" w:type="auto"/>
        <w:tblLook w:val="04A0" w:firstRow="1" w:lastRow="0" w:firstColumn="1" w:lastColumn="0" w:noHBand="0" w:noVBand="1"/>
      </w:tblPr>
      <w:tblGrid>
        <w:gridCol w:w="675"/>
        <w:gridCol w:w="9180"/>
      </w:tblGrid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министра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/>
          </w:p>
        </w:tc>
      </w:tr>
      <w:tr>
        <w:trPr/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8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бюджетного управления</w:t>
            </w:r>
            <w:r/>
          </w:p>
        </w:tc>
      </w:tr>
      <w:tr>
        <w:trPr>
          <w:trHeight w:val="34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отраслевого финансирования</w:t>
            </w:r>
            <w:r/>
          </w:p>
        </w:tc>
      </w:tr>
      <w:tr>
        <w:trPr>
          <w:trHeight w:val="28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работе с муниципалитетами</w:t>
            </w:r>
            <w:r/>
          </w:p>
        </w:tc>
      </w:tr>
      <w:tr>
        <w:trPr>
          <w:trHeight w:val="25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left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учета и отчетности</w:t>
            </w:r>
            <w:r/>
          </w:p>
        </w:tc>
      </w:tr>
      <w:tr>
        <w:trPr>
          <w:trHeight w:val="370"/>
        </w:trPr>
        <w:tc>
          <w:tcPr>
            <w:tcW w:w="67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непроизводственной сферы управления отраслевого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производственной сферы и агропромышленного комплекса управления отраслевого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0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межбюджетных отношений управления по работе с муниципалитетами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1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–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информационных систем управления информационного обеспечения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6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отдела исполнения бюджетного финансирования и свода бюджетного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6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мониторинга исполнения бюджетов и управления государственным долгом бюджетного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финансирования органов государственного управления, сферы безопасности и защиты населения управления отраслевого финансирования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1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анализа исполнения местных бюджетов управления по работе с муниципалитетами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Начальник отдела бухгалтерского учета и консолидированной отчетности управления учета и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5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учета кассового исполнения областного бюджета управления учета и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21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обеспечению информационной безопасности управления информационного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6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реализации специальных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1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правовой и кадровой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1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Начальник административного отдела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15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государственного заказа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1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обеспечения исполнения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96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информационно-аналитической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134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9180" w:type="dxa"/>
            <w:vMerge w:val="restart"/>
            <w:textDirection w:val="lrTb"/>
            <w:noWrap w:val="false"/>
          </w:tcPr>
          <w:p>
            <w:pPr>
              <w:pStyle w:val="920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доходов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ind w:left="0" w:right="1" w:firstLine="709"/>
        <w:jc w:val="right"/>
      </w:pPr>
      <w:r>
        <w:rPr>
          <w:sz w:val="28"/>
          <w:szCs w:val="28"/>
          <w:highlight w:val="none"/>
        </w:rPr>
        <w:t xml:space="preserve">».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7" w:h="16834" w:orient="portrait"/>
      <w:pgMar w:top="851" w:right="567" w:bottom="993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13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1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</w:pPr>
    <w:r/>
    <w:r/>
  </w:p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4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1050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9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4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4"/>
  </w:num>
  <w:num w:numId="4">
    <w:abstractNumId w:val="0"/>
  </w:num>
  <w:num w:numId="5">
    <w:abstractNumId w:val="23"/>
  </w:num>
  <w:num w:numId="6">
    <w:abstractNumId w:val="6"/>
  </w:num>
  <w:num w:numId="7">
    <w:abstractNumId w:val="3"/>
  </w:num>
  <w:num w:numId="8">
    <w:abstractNumId w:val="12"/>
  </w:num>
  <w:num w:numId="9">
    <w:abstractNumId w:val="22"/>
  </w:num>
  <w:num w:numId="10">
    <w:abstractNumId w:val="10"/>
  </w:num>
  <w:num w:numId="11">
    <w:abstractNumId w:val="11"/>
  </w:num>
  <w:num w:numId="12">
    <w:abstractNumId w:val="16"/>
  </w:num>
  <w:num w:numId="13">
    <w:abstractNumId w:val="20"/>
  </w:num>
  <w:num w:numId="14">
    <w:abstractNumId w:val="8"/>
  </w:num>
  <w:num w:numId="15">
    <w:abstractNumId w:val="5"/>
  </w:num>
  <w:num w:numId="16">
    <w:abstractNumId w:val="9"/>
  </w:num>
  <w:num w:numId="17">
    <w:abstractNumId w:val="13"/>
  </w:num>
  <w:num w:numId="18">
    <w:abstractNumId w:val="2"/>
  </w:num>
  <w:num w:numId="19">
    <w:abstractNumId w:val="14"/>
  </w:num>
  <w:num w:numId="20">
    <w:abstractNumId w:val="1"/>
  </w:num>
  <w:num w:numId="21">
    <w:abstractNumId w:val="7"/>
  </w:num>
  <w:num w:numId="22">
    <w:abstractNumId w:val="19"/>
  </w:num>
  <w:num w:numId="23">
    <w:abstractNumId w:val="15"/>
  </w:num>
  <w:num w:numId="24">
    <w:abstractNumId w:val="17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5">
    <w:name w:val="Heading 1"/>
    <w:basedOn w:val="907"/>
    <w:next w:val="907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>
    <w:name w:val="Heading 1 Char"/>
    <w:basedOn w:val="908"/>
    <w:link w:val="735"/>
    <w:uiPriority w:val="9"/>
    <w:rPr>
      <w:rFonts w:ascii="Arial" w:hAnsi="Arial" w:eastAsia="Arial" w:cs="Arial"/>
      <w:sz w:val="40"/>
      <w:szCs w:val="40"/>
    </w:rPr>
  </w:style>
  <w:style w:type="paragraph" w:styleId="737">
    <w:name w:val="Heading 2"/>
    <w:basedOn w:val="907"/>
    <w:next w:val="907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>
    <w:name w:val="Heading 2 Char"/>
    <w:basedOn w:val="908"/>
    <w:link w:val="737"/>
    <w:uiPriority w:val="9"/>
    <w:rPr>
      <w:rFonts w:ascii="Arial" w:hAnsi="Arial" w:eastAsia="Arial" w:cs="Arial"/>
      <w:sz w:val="34"/>
    </w:rPr>
  </w:style>
  <w:style w:type="paragraph" w:styleId="739">
    <w:name w:val="Heading 3"/>
    <w:basedOn w:val="907"/>
    <w:next w:val="907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>
    <w:name w:val="Heading 3 Char"/>
    <w:basedOn w:val="908"/>
    <w:link w:val="739"/>
    <w:uiPriority w:val="9"/>
    <w:rPr>
      <w:rFonts w:ascii="Arial" w:hAnsi="Arial" w:eastAsia="Arial" w:cs="Arial"/>
      <w:sz w:val="30"/>
      <w:szCs w:val="30"/>
    </w:rPr>
  </w:style>
  <w:style w:type="paragraph" w:styleId="741">
    <w:name w:val="Heading 4"/>
    <w:basedOn w:val="907"/>
    <w:next w:val="907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>
    <w:name w:val="Heading 4 Char"/>
    <w:basedOn w:val="908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907"/>
    <w:next w:val="907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4">
    <w:name w:val="Heading 5 Char"/>
    <w:basedOn w:val="908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>
    <w:name w:val="Heading 6"/>
    <w:basedOn w:val="907"/>
    <w:next w:val="907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>
    <w:name w:val="Heading 6 Char"/>
    <w:basedOn w:val="908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907"/>
    <w:next w:val="907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>
    <w:name w:val="Heading 7 Char"/>
    <w:basedOn w:val="908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>
    <w:name w:val="Heading 8"/>
    <w:basedOn w:val="907"/>
    <w:next w:val="907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>
    <w:name w:val="Heading 8 Char"/>
    <w:basedOn w:val="908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>
    <w:name w:val="Heading 9"/>
    <w:basedOn w:val="907"/>
    <w:next w:val="907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>
    <w:name w:val="Heading 9 Char"/>
    <w:basedOn w:val="908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No Spacing"/>
    <w:uiPriority w:val="1"/>
    <w:qFormat/>
    <w:pPr>
      <w:spacing w:before="0" w:after="0" w:line="240" w:lineRule="auto"/>
    </w:pPr>
  </w:style>
  <w:style w:type="character" w:styleId="754">
    <w:name w:val="Title Char"/>
    <w:basedOn w:val="908"/>
    <w:link w:val="911"/>
    <w:uiPriority w:val="10"/>
    <w:rPr>
      <w:sz w:val="48"/>
      <w:szCs w:val="48"/>
    </w:rPr>
  </w:style>
  <w:style w:type="paragraph" w:styleId="755">
    <w:name w:val="Subtitle"/>
    <w:basedOn w:val="907"/>
    <w:next w:val="907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basedOn w:val="908"/>
    <w:link w:val="755"/>
    <w:uiPriority w:val="11"/>
    <w:rPr>
      <w:sz w:val="24"/>
      <w:szCs w:val="24"/>
    </w:rPr>
  </w:style>
  <w:style w:type="paragraph" w:styleId="757">
    <w:name w:val="Quote"/>
    <w:basedOn w:val="907"/>
    <w:next w:val="907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07"/>
    <w:next w:val="907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character" w:styleId="761">
    <w:name w:val="Header Char"/>
    <w:basedOn w:val="908"/>
    <w:link w:val="913"/>
    <w:uiPriority w:val="99"/>
  </w:style>
  <w:style w:type="character" w:styleId="762">
    <w:name w:val="Footer Char"/>
    <w:basedOn w:val="908"/>
    <w:link w:val="914"/>
    <w:uiPriority w:val="99"/>
  </w:style>
  <w:style w:type="character" w:styleId="763">
    <w:name w:val="Caption Char"/>
    <w:basedOn w:val="912"/>
    <w:link w:val="914"/>
    <w:uiPriority w:val="99"/>
  </w:style>
  <w:style w:type="table" w:styleId="764">
    <w:name w:val="Table Grid Light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basedOn w:val="9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>
    <w:name w:val="Grid Table 4 - Accent 1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3">
    <w:name w:val="Grid Table 4 - Accent 2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Grid Table 4 - Accent 3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5">
    <w:name w:val="Grid Table 4 - Accent 4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Grid Table 4 - Accent 5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7">
    <w:name w:val="Grid Table 4 - Accent 6"/>
    <w:basedOn w:val="9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8">
    <w:name w:val="Grid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5">
    <w:name w:val="Grid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6">
    <w:name w:val="Grid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7">
    <w:name w:val="Grid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8">
    <w:name w:val="Grid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9">
    <w:name w:val="Grid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0">
    <w:name w:val="Grid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7">
    <w:name w:val="List Table 2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8">
    <w:name w:val="List Table 2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9">
    <w:name w:val="List Table 2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0">
    <w:name w:val="List Table 2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1">
    <w:name w:val="List Table 2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2">
    <w:name w:val="List Table 2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6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5">
    <w:name w:val="List Table 6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6">
    <w:name w:val="List Table 6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7">
    <w:name w:val="List Table 6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8">
    <w:name w:val="List Table 6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9">
    <w:name w:val="List Table 6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0">
    <w:name w:val="List Table 6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1">
    <w:name w:val="List Table 7 Colorful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2">
    <w:name w:val="List Table 7 Colorful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3">
    <w:name w:val="List Table 7 Colorful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4">
    <w:name w:val="List Table 7 Colorful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5">
    <w:name w:val="List Table 7 Colorful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6">
    <w:name w:val="List Table 7 Colorful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7">
    <w:name w:val="List Table 7 Colorful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8">
    <w:name w:val="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 &amp; Lined - Accent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6">
    <w:name w:val="Bordered &amp; Lined - Accent 1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7">
    <w:name w:val="Bordered &amp; Lined - Accent 2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8">
    <w:name w:val="Bordered &amp; Lined - Accent 3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9">
    <w:name w:val="Bordered &amp; Lined - Accent 4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0">
    <w:name w:val="Bordered &amp; Lined - Accent 5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1">
    <w:name w:val="Bordered &amp; Lined - Accent 6"/>
    <w:basedOn w:val="9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2">
    <w:name w:val="Bordered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3">
    <w:name w:val="Bordered - Accent 1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4">
    <w:name w:val="Bordered - Accent 2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5">
    <w:name w:val="Bordered - Accent 3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6">
    <w:name w:val="Bordered - Accent 4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7">
    <w:name w:val="Bordered - Accent 5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8">
    <w:name w:val="Bordered - Accent 6"/>
    <w:basedOn w:val="9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spacing w:after="40" w:line="240" w:lineRule="auto"/>
    </w:pPr>
    <w:rPr>
      <w:sz w:val="18"/>
    </w:rPr>
  </w:style>
  <w:style w:type="character" w:styleId="891">
    <w:name w:val="Footnote Text Char"/>
    <w:link w:val="890"/>
    <w:uiPriority w:val="99"/>
    <w:rPr>
      <w:sz w:val="18"/>
    </w:rPr>
  </w:style>
  <w:style w:type="character" w:styleId="892">
    <w:name w:val="footnote reference"/>
    <w:basedOn w:val="908"/>
    <w:uiPriority w:val="99"/>
    <w:unhideWhenUsed/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spacing w:after="0" w:line="240" w:lineRule="auto"/>
    </w:pPr>
    <w:rPr>
      <w:sz w:val="20"/>
    </w:rPr>
  </w:style>
  <w:style w:type="character" w:styleId="894">
    <w:name w:val="Endnote Text Char"/>
    <w:link w:val="893"/>
    <w:uiPriority w:val="99"/>
    <w:rPr>
      <w:sz w:val="20"/>
    </w:rPr>
  </w:style>
  <w:style w:type="character" w:styleId="895">
    <w:name w:val="endnote reference"/>
    <w:basedOn w:val="908"/>
    <w:uiPriority w:val="99"/>
    <w:semiHidden/>
    <w:unhideWhenUsed/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ind w:left="0" w:right="0" w:firstLine="0"/>
      <w:spacing w:after="57"/>
    </w:pPr>
  </w:style>
  <w:style w:type="paragraph" w:styleId="897">
    <w:name w:val="toc 2"/>
    <w:basedOn w:val="907"/>
    <w:next w:val="907"/>
    <w:uiPriority w:val="39"/>
    <w:unhideWhenUsed/>
    <w:pPr>
      <w:ind w:left="283" w:right="0" w:firstLine="0"/>
      <w:spacing w:after="57"/>
    </w:pPr>
  </w:style>
  <w:style w:type="paragraph" w:styleId="898">
    <w:name w:val="toc 3"/>
    <w:basedOn w:val="907"/>
    <w:next w:val="907"/>
    <w:uiPriority w:val="39"/>
    <w:unhideWhenUsed/>
    <w:pPr>
      <w:ind w:left="567" w:right="0" w:firstLine="0"/>
      <w:spacing w:after="57"/>
    </w:pPr>
  </w:style>
  <w:style w:type="paragraph" w:styleId="899">
    <w:name w:val="toc 4"/>
    <w:basedOn w:val="907"/>
    <w:next w:val="907"/>
    <w:uiPriority w:val="39"/>
    <w:unhideWhenUsed/>
    <w:pPr>
      <w:ind w:left="850" w:right="0" w:firstLine="0"/>
      <w:spacing w:after="57"/>
    </w:pPr>
  </w:style>
  <w:style w:type="paragraph" w:styleId="900">
    <w:name w:val="toc 5"/>
    <w:basedOn w:val="907"/>
    <w:next w:val="907"/>
    <w:uiPriority w:val="39"/>
    <w:unhideWhenUsed/>
    <w:pPr>
      <w:ind w:left="1134" w:right="0" w:firstLine="0"/>
      <w:spacing w:after="57"/>
    </w:pPr>
  </w:style>
  <w:style w:type="paragraph" w:styleId="901">
    <w:name w:val="toc 6"/>
    <w:basedOn w:val="907"/>
    <w:next w:val="907"/>
    <w:uiPriority w:val="39"/>
    <w:unhideWhenUsed/>
    <w:pPr>
      <w:ind w:left="1417" w:right="0" w:firstLine="0"/>
      <w:spacing w:after="57"/>
    </w:pPr>
  </w:style>
  <w:style w:type="paragraph" w:styleId="902">
    <w:name w:val="toc 7"/>
    <w:basedOn w:val="907"/>
    <w:next w:val="907"/>
    <w:uiPriority w:val="39"/>
    <w:unhideWhenUsed/>
    <w:pPr>
      <w:ind w:left="1701" w:right="0" w:firstLine="0"/>
      <w:spacing w:after="57"/>
    </w:pPr>
  </w:style>
  <w:style w:type="paragraph" w:styleId="903">
    <w:name w:val="toc 8"/>
    <w:basedOn w:val="907"/>
    <w:next w:val="907"/>
    <w:uiPriority w:val="39"/>
    <w:unhideWhenUsed/>
    <w:pPr>
      <w:ind w:left="1984" w:right="0" w:firstLine="0"/>
      <w:spacing w:after="57"/>
    </w:pPr>
  </w:style>
  <w:style w:type="paragraph" w:styleId="904">
    <w:name w:val="toc 9"/>
    <w:basedOn w:val="907"/>
    <w:next w:val="907"/>
    <w:uiPriority w:val="39"/>
    <w:unhideWhenUsed/>
    <w:pPr>
      <w:ind w:left="2268" w:right="0" w:firstLine="0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907"/>
    <w:next w:val="907"/>
    <w:uiPriority w:val="99"/>
    <w:unhideWhenUsed/>
    <w:pPr>
      <w:spacing w:after="0" w:afterAutospacing="0"/>
    </w:pPr>
  </w:style>
  <w:style w:type="paragraph" w:styleId="907" w:default="1">
    <w:name w:val="Normal"/>
    <w:qFormat/>
    <w:rPr>
      <w:sz w:val="26"/>
    </w:rPr>
  </w:style>
  <w:style w:type="character" w:styleId="908" w:default="1">
    <w:name w:val="Default Paragraph Font"/>
    <w:uiPriority w:val="1"/>
    <w:semiHidden/>
    <w:unhideWhenUsed/>
  </w:style>
  <w:style w:type="table" w:styleId="9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0" w:default="1">
    <w:name w:val="No List"/>
    <w:uiPriority w:val="99"/>
    <w:semiHidden/>
    <w:unhideWhenUsed/>
  </w:style>
  <w:style w:type="paragraph" w:styleId="911">
    <w:name w:val="Title"/>
    <w:basedOn w:val="907"/>
    <w:qFormat/>
    <w:pPr>
      <w:jc w:val="center"/>
      <w:spacing w:line="288" w:lineRule="auto"/>
    </w:pPr>
    <w:rPr>
      <w:sz w:val="32"/>
    </w:rPr>
  </w:style>
  <w:style w:type="paragraph" w:styleId="912">
    <w:name w:val="Caption"/>
    <w:basedOn w:val="907"/>
    <w:next w:val="907"/>
    <w:qFormat/>
    <w:pPr>
      <w:jc w:val="center"/>
      <w:spacing w:line="288" w:lineRule="auto"/>
    </w:pPr>
    <w:rPr>
      <w:b/>
      <w:sz w:val="36"/>
    </w:rPr>
  </w:style>
  <w:style w:type="paragraph" w:styleId="913">
    <w:name w:val="Header"/>
    <w:basedOn w:val="907"/>
    <w:link w:val="919"/>
    <w:uiPriority w:val="99"/>
    <w:pPr>
      <w:tabs>
        <w:tab w:val="center" w:pos="4677" w:leader="none"/>
        <w:tab w:val="right" w:pos="9355" w:leader="none"/>
      </w:tabs>
    </w:pPr>
  </w:style>
  <w:style w:type="paragraph" w:styleId="914">
    <w:name w:val="Footer"/>
    <w:basedOn w:val="907"/>
    <w:pPr>
      <w:tabs>
        <w:tab w:val="center" w:pos="4677" w:leader="none"/>
        <w:tab w:val="right" w:pos="9355" w:leader="none"/>
      </w:tabs>
    </w:pPr>
  </w:style>
  <w:style w:type="paragraph" w:styleId="915">
    <w:name w:val="Body Text"/>
    <w:basedOn w:val="907"/>
    <w:pPr>
      <w:spacing w:before="120" w:line="192" w:lineRule="auto"/>
    </w:pPr>
    <w:rPr>
      <w:sz w:val="28"/>
      <w:lang w:val="en-US"/>
    </w:rPr>
  </w:style>
  <w:style w:type="paragraph" w:styleId="916">
    <w:name w:val="Document Map"/>
    <w:basedOn w:val="907"/>
    <w:semiHidden/>
    <w:pPr>
      <w:shd w:val="clear" w:color="auto" w:fill="000080"/>
    </w:pPr>
    <w:rPr>
      <w:rFonts w:ascii="Tahoma" w:hAnsi="Tahoma" w:cs="Tahoma"/>
    </w:rPr>
  </w:style>
  <w:style w:type="paragraph" w:styleId="917">
    <w:name w:val="Balloon Text"/>
    <w:basedOn w:val="907"/>
    <w:semiHidden/>
    <w:rPr>
      <w:rFonts w:ascii="Tahoma" w:hAnsi="Tahoma" w:cs="Tahoma"/>
      <w:sz w:val="16"/>
      <w:szCs w:val="16"/>
    </w:rPr>
  </w:style>
  <w:style w:type="paragraph" w:styleId="918">
    <w:name w:val="List Paragraph"/>
    <w:basedOn w:val="907"/>
    <w:uiPriority w:val="34"/>
    <w:qFormat/>
    <w:pPr>
      <w:contextualSpacing/>
      <w:ind w:left="720"/>
    </w:pPr>
  </w:style>
  <w:style w:type="character" w:styleId="919" w:customStyle="1">
    <w:name w:val="Верхний колонтитул Знак"/>
    <w:basedOn w:val="908"/>
    <w:link w:val="913"/>
    <w:uiPriority w:val="99"/>
    <w:rPr>
      <w:sz w:val="26"/>
    </w:rPr>
  </w:style>
  <w:style w:type="paragraph" w:styleId="920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21" w:customStyle="1">
    <w:name w:val="ConsPlusNonformat"/>
    <w:pPr>
      <w:widowControl w:val="off"/>
    </w:pPr>
    <w:rPr>
      <w:rFonts w:ascii="Courier New" w:hAnsi="Courier New" w:cs="Courier New"/>
    </w:rPr>
  </w:style>
  <w:style w:type="table" w:styleId="922">
    <w:name w:val="Table Grid"/>
    <w:basedOn w:val="90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4B2BB-7D51-452C-A535-771BC45B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Администрация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revision>380</cp:revision>
  <dcterms:created xsi:type="dcterms:W3CDTF">2019-11-28T15:42:00Z</dcterms:created>
  <dcterms:modified xsi:type="dcterms:W3CDTF">2025-12-16T08:34:38Z</dcterms:modified>
</cp:coreProperties>
</file>