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2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firstLine="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  <w:t xml:space="preserve">от 22 января 2026 г.  № 26-п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0"/>
          <w:numId w:val="0"/>
        </w:numPr>
        <w:ind w:left="-425" w:right="0" w:firstLine="425"/>
        <w:jc w:val="both"/>
        <w:spacing w:before="0" w:after="0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54"/>
        <w:numPr>
          <w:ilvl w:val="0"/>
          <w:numId w:val="0"/>
        </w:numPr>
        <w:ind w:left="-425" w:right="-141" w:firstLine="425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«3.1. ИТН-1. Зоны инженерно-транспортной инфраструктуры.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ind w:left="-425" w:right="-283" w:firstLine="425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ind w:left="-425" w:right="-283" w:firstLine="425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Зоны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 инженерно-транспортной инфрастру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ктуры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 выдел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ены для размещения объектов автомобильного транспорта, трубопроводного транспорта, объектов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дорожного сервиса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 и коммунального назначения.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</w:r>
    </w:p>
    <w:p>
      <w:pPr>
        <w:pStyle w:val="654"/>
        <w:ind w:left="-425" w:right="-283" w:firstLine="425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auto"/>
          <w:lang w:eastAsia="zh-CN" w:bidi="ar-SA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Виды разрешенного использования земельных участков и объектов капитального строительс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eastAsia="zh-CN" w:bidi="ar-SA"/>
        </w:rPr>
        <w:t xml:space="preserve">тва в зоне «ИТН-1. Зоны инженерно-транспортной инфраструктуры»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lang w:eastAsia="zh-CN" w:bidi="ar-SA"/>
        </w:rPr>
        <w:t xml:space="preserve"> представлены в таблице 3.1.1.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auto"/>
          <w:lang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shd w:val="clear" w:color="auto" w:fill="auto"/>
          <w:lang w:eastAsia="zh-CN" w:bidi="ar-SA"/>
        </w:rPr>
      </w:r>
    </w:p>
    <w:p>
      <w:pPr>
        <w:pStyle w:val="689"/>
        <w:ind w:left="0" w:right="-283" w:firstLine="709"/>
        <w:jc w:val="right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         </w:t>
      </w:r>
      <w:r>
        <w:rPr>
          <w:rFonts w:eastAsia="NSimSun" w:cs="Times New Roman"/>
          <w:color w:val="auto"/>
          <w:sz w:val="28"/>
          <w:szCs w:val="28"/>
          <w:lang w:eastAsia="zh-CN" w:bidi="ar-SA"/>
        </w:rPr>
        <w:t xml:space="preserve">Таблица 3.1.1</w:t>
      </w:r>
      <w:r>
        <w:rPr>
          <w:rFonts w:cs="Times New Roman"/>
          <w:color w:val="auto"/>
          <w:sz w:val="28"/>
          <w:szCs w:val="28"/>
        </w:rPr>
      </w:r>
      <w:r>
        <w:rPr>
          <w:rFonts w:cs="Times New Roman"/>
          <w:color w:val="auto"/>
          <w:sz w:val="28"/>
          <w:szCs w:val="28"/>
        </w:rPr>
      </w:r>
    </w:p>
    <w:tbl>
      <w:tblPr>
        <w:tblW w:w="10063" w:type="dxa"/>
        <w:tblInd w:w="-41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04"/>
        <w:gridCol w:w="5416"/>
        <w:gridCol w:w="184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04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16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Наименование вида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6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разрешенного использования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Код вида разрешенного использования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4" w:type="dxa"/>
            <w:vMerge w:val="restart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6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предоставление коммунальных услуг;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3.1.1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6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автомобильный транспорт;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7.2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6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трубопроводный транспорт;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7.5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4" w:type="dxa"/>
            <w:vMerge w:val="continue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6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NSimSun" w:cs="Times New Roman"/>
                <w:color w:val="000000"/>
                <w:shd w:val="clear" w:color="auto" w:fill="auto"/>
                <w:lang w:eastAsia="zh-CN" w:bidi="ar-SA"/>
              </w:rPr>
              <w:t xml:space="preserve">земельные участки (территории) общего пользования</w:t>
            </w:r>
            <w:r>
              <w:rPr>
                <w:rFonts w:eastAsia="Times New Roman" w:cs="Times New Roman"/>
                <w:shd w:val="clear" w:color="auto" w:fill="auto"/>
              </w:rPr>
              <w:t xml:space="preserve">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12.0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4" w:type="dxa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6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000000"/>
                <w:shd w:val="clear" w:color="auto" w:fill="auto"/>
              </w:rPr>
              <w:t xml:space="preserve">объекты дорожного сервиса</w:t>
            </w:r>
            <w:r>
              <w:rPr>
                <w:color w:val="auto"/>
              </w:rPr>
              <w:t xml:space="preserve">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000000"/>
                <w:shd w:val="clear" w:color="auto" w:fill="auto"/>
              </w:rPr>
              <w:t xml:space="preserve">4.9.1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04" w:type="dxa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16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654"/>
        <w:ind w:left="-425" w:right="-283" w:firstLine="425"/>
        <w:jc w:val="both"/>
        <w:spacing w:before="164" w:beforeAutospacing="0" w:after="0" w:line="240" w:lineRule="auto"/>
        <w:widowControl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zh-CN" w:bidi="ar-SA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«ИТН-1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lang w:eastAsia="zh-CN" w:bidi="ar-SA"/>
        </w:rPr>
        <w:t xml:space="preserve">.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auto"/>
          <w:lang w:eastAsia="zh-CN" w:bidi="ar-SA"/>
        </w:rPr>
        <w:t xml:space="preserve">Зоны инженерно-транспортной инфраструктуры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 таблице 3.2.2.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5"/>
        <w:contextualSpacing/>
        <w:ind w:left="0" w:right="-283" w:firstLine="709"/>
        <w:jc w:val="right"/>
        <w:spacing w:before="0" w:after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  <w:t xml:space="preserve">Таблица 3.2.2</w:t>
      </w:r>
      <w:r>
        <w:rPr>
          <w:rFonts w:ascii="Times New Roman" w:hAnsi="Times New Roman" w:cs="Times New Roman"/>
          <w:b w:val="0"/>
          <w:color w:val="auto"/>
        </w:rPr>
      </w:r>
      <w:r>
        <w:rPr>
          <w:rFonts w:ascii="Times New Roman" w:hAnsi="Times New Roman" w:cs="Times New Roman"/>
          <w:b w:val="0"/>
          <w:color w:val="auto"/>
        </w:rPr>
      </w:r>
    </w:p>
    <w:tbl>
      <w:tblPr>
        <w:tblW w:w="10380" w:type="dxa"/>
        <w:tblInd w:w="-41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877"/>
        <w:gridCol w:w="997"/>
        <w:gridCol w:w="1015"/>
        <w:gridCol w:w="966"/>
        <w:gridCol w:w="1079"/>
        <w:gridCol w:w="1590"/>
        <w:gridCol w:w="1925"/>
        <w:gridCol w:w="1588"/>
        <w:gridCol w:w="342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7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Код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вида раз-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решен-ного исполь-зования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12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hd w:val="clear" w:color="auto" w:fill="auto"/>
                <w:lang w:eastAsia="zh-CN" w:bidi="ar-SA"/>
              </w:rPr>
              <w:t xml:space="preserve">Размер </w:t>
            </w:r>
            <w:r>
              <w:rPr>
                <w:color w:val="000000"/>
                <w:shd w:val="clear" w:color="auto" w:fill="auto"/>
              </w:rPr>
              <w:t xml:space="preserve">земельного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 </w:t>
            </w:r>
            <w:r>
              <w:rPr>
                <w:color w:val="000000"/>
                <w:shd w:val="clear" w:color="auto" w:fill="auto"/>
              </w:rPr>
              <w:t xml:space="preserve">участка (м)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4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Площадь земельного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участка (</w:t>
            </w:r>
            <w:r>
              <w:rPr>
                <w:rFonts w:eastAsia="Calibri" w:cs="Calibri"/>
                <w:color w:val="000000"/>
                <w:shd w:val="clear" w:color="auto" w:fill="auto"/>
                <w:lang w:eastAsia="zh-CN" w:bidi="ar-SA"/>
              </w:rPr>
              <w:t xml:space="preserve">кв.м</w:t>
            </w:r>
            <w:r>
              <w:rPr>
                <w:color w:val="000000"/>
                <w:shd w:val="clear" w:color="auto" w:fill="auto"/>
              </w:rPr>
              <w:t xml:space="preserve">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90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Минималь-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ный отступ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от границ земельного участка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(м)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25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Предельное количество этажей/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предельная высота зданий, строений, сооружений (м)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716"/>
              <w:ind w:left="-28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/>
                <w:shd w:val="clear" w:color="auto" w:fill="auto"/>
                <w:lang w:eastAsia="zh-CN" w:bidi="ar-SA"/>
              </w:rPr>
              <w:t xml:space="preserve">(%)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5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Мин.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  <w:t xml:space="preserve">Макс.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000000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  <w:r>
              <w:rPr>
                <w:color w:val="auto"/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3.1.1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bookmarkStart w:id="0" w:name="undefined_Copy_1"/>
            <w:r/>
            <w:bookmarkEnd w:id="0"/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highlight w:val="none"/>
                <w:shd w:val="clear" w:color="auto" w:fill="auto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highlight w:val="none"/>
                <w:shd w:val="clear" w:color="auto" w:fill="auto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7.2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bookmarkStart w:id="1" w:name="undefined"/>
            <w:r/>
            <w:bookmarkEnd w:id="1"/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highlight w:val="none"/>
                <w:shd w:val="clear" w:color="auto" w:fill="auto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highlight w:val="none"/>
                <w:shd w:val="clear" w:color="auto" w:fill="auto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7.5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bookmarkStart w:id="2" w:name="undefined_Copy_1_Copy_1"/>
            <w:r/>
            <w:bookmarkEnd w:id="2"/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 w:val="22"/>
                <w:szCs w:val="22"/>
                <w:highlight w:val="none"/>
                <w:shd w:val="clear" w:color="auto" w:fill="auto"/>
                <w:lang w:eastAsia="zh-CN" w:bidi="ar-SA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highlight w:val="none"/>
                <w:shd w:val="clear" w:color="auto" w:fill="auto"/>
                <w:lang w:eastAsia="zh-CN" w:bidi="ar-SA"/>
              </w:rPr>
            </w:r>
            <w:r>
              <w:rPr>
                <w:rFonts w:eastAsia="Calibri" w:cs="Calibri"/>
                <w:color w:val="auto"/>
                <w:sz w:val="22"/>
                <w:szCs w:val="22"/>
                <w:highlight w:val="none"/>
                <w:shd w:val="clear" w:color="auto" w:fill="auto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12.0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  </w:t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left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</w:tcBorders>
            <w:tcW w:w="10038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r>
          </w:p>
        </w:tc>
        <w:tc>
          <w:tcPr>
            <w:tcW w:w="342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</w:r>
            <w:r>
              <w:rPr>
                <w:color w:val="000000"/>
                <w:shd w:val="clear" w:color="auto" w:fill="auto"/>
              </w:rPr>
              <w:t xml:space="preserve">4.9.1</w:t>
            </w:r>
            <w:r>
              <w:rPr>
                <w:shd w:val="clear" w:color="auto" w:fill="auto"/>
              </w:rPr>
            </w:r>
            <w:r>
              <w:rPr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5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6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5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8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  </w:t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НПУ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342" w:type="dxa"/>
            <w:vAlign w:val="center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pP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  <w:t xml:space="preserve">».</w:t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r>
            <w:r>
              <w:rPr>
                <w:rFonts w:eastAsia="Calibri" w:cs="Calibri"/>
                <w:color w:val="000000"/>
                <w:sz w:val="22"/>
                <w:szCs w:val="22"/>
                <w:shd w:val="clear" w:color="auto" w:fill="auto"/>
                <w:lang w:eastAsia="zh-CN" w:bidi="ar-SA"/>
              </w:rPr>
            </w:r>
          </w:p>
        </w:tc>
      </w:tr>
    </w:tbl>
    <w:p>
      <w:pPr>
        <w:pStyle w:val="654"/>
        <w:contextualSpacing/>
        <w:ind w:left="0" w:right="-283" w:firstLine="709"/>
        <w:jc w:val="right"/>
        <w:spacing w:before="0" w:after="0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709" w:right="850" w:bottom="822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655">
    <w:name w:val="Heading 1"/>
    <w:basedOn w:val="654"/>
    <w:next w:val="654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link w:val="695"/>
    <w:uiPriority w:val="29"/>
    <w:qFormat/>
    <w:rPr>
      <w:i/>
    </w:rPr>
  </w:style>
  <w:style w:type="character" w:styleId="676">
    <w:name w:val="Intense Quote Char"/>
    <w:link w:val="696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 w:default="1">
    <w:name w:val="Default Paragraph Font"/>
    <w:uiPriority w:val="1"/>
    <w:semiHidden/>
    <w:unhideWhenUsed/>
    <w:qFormat/>
  </w:style>
  <w:style w:type="paragraph" w:styleId="688">
    <w:name w:val="Заголовок"/>
    <w:basedOn w:val="654"/>
    <w:next w:val="68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89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shd w:val="clear" w:color="ffffff" w:fill="ffffff"/>
      <w:vertAlign w:val="baseline"/>
      <w:lang w:val="ru-RU" w:eastAsia="ru-RU" w:bidi="hi-IN"/>
    </w:rPr>
  </w:style>
  <w:style w:type="paragraph" w:styleId="690">
    <w:name w:val="List"/>
    <w:basedOn w:val="689"/>
    <w:rPr>
      <w:rFonts w:cs="Arial"/>
    </w:rPr>
  </w:style>
  <w:style w:type="paragraph" w:styleId="691">
    <w:name w:val="Caption"/>
    <w:basedOn w:val="654"/>
    <w:next w:val="654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92">
    <w:name w:val="Указатель"/>
    <w:basedOn w:val="654"/>
    <w:qFormat/>
    <w:pPr>
      <w:suppressLineNumbers/>
    </w:pPr>
    <w:rPr>
      <w:rFonts w:cs="Arial"/>
    </w:rPr>
  </w:style>
  <w:style w:type="paragraph" w:styleId="693">
    <w:name w:val="Title"/>
    <w:basedOn w:val="654"/>
    <w:next w:val="654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4">
    <w:name w:val="Subtitle"/>
    <w:basedOn w:val="654"/>
    <w:next w:val="654"/>
    <w:link w:val="674"/>
    <w:uiPriority w:val="11"/>
    <w:qFormat/>
    <w:pPr>
      <w:spacing w:before="200" w:after="200"/>
    </w:pPr>
    <w:rPr>
      <w:sz w:val="24"/>
      <w:szCs w:val="24"/>
    </w:rPr>
  </w:style>
  <w:style w:type="paragraph" w:styleId="695">
    <w:name w:val="Quote"/>
    <w:basedOn w:val="654"/>
    <w:next w:val="654"/>
    <w:link w:val="675"/>
    <w:uiPriority w:val="29"/>
    <w:qFormat/>
    <w:pPr>
      <w:ind w:left="720" w:right="720" w:firstLine="0"/>
    </w:pPr>
    <w:rPr>
      <w:i/>
    </w:rPr>
  </w:style>
  <w:style w:type="paragraph" w:styleId="696">
    <w:name w:val="Intense Quote"/>
    <w:basedOn w:val="654"/>
    <w:next w:val="654"/>
    <w:link w:val="676"/>
    <w:uiPriority w:val="30"/>
    <w:qFormat/>
    <w:pPr>
      <w:ind w:left="720" w:right="720" w:firstLine="0"/>
      <w:spacing w:before="0" w:after="20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7">
    <w:name w:val="Колонтитул"/>
    <w:basedOn w:val="654"/>
    <w:qFormat/>
  </w:style>
  <w:style w:type="paragraph" w:styleId="698">
    <w:name w:val="Header"/>
    <w:basedOn w:val="654"/>
    <w:link w:val="67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99">
    <w:name w:val="Footer"/>
    <w:basedOn w:val="654"/>
    <w:link w:val="67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0">
    <w:name w:val="footnote text"/>
    <w:basedOn w:val="654"/>
    <w:link w:val="68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1">
    <w:name w:val="endnote text"/>
    <w:basedOn w:val="654"/>
    <w:link w:val="68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2">
    <w:name w:val="toc 1"/>
    <w:basedOn w:val="654"/>
    <w:next w:val="654"/>
    <w:uiPriority w:val="39"/>
    <w:unhideWhenUsed/>
    <w:pPr>
      <w:ind w:left="0" w:right="0" w:firstLine="0"/>
      <w:spacing w:before="0" w:after="57"/>
    </w:pPr>
  </w:style>
  <w:style w:type="paragraph" w:styleId="703">
    <w:name w:val="toc 2"/>
    <w:basedOn w:val="654"/>
    <w:next w:val="654"/>
    <w:uiPriority w:val="39"/>
    <w:unhideWhenUsed/>
    <w:pPr>
      <w:ind w:left="283" w:right="0" w:firstLine="0"/>
      <w:spacing w:before="0" w:after="57"/>
    </w:pPr>
  </w:style>
  <w:style w:type="paragraph" w:styleId="704">
    <w:name w:val="toc 3"/>
    <w:basedOn w:val="654"/>
    <w:next w:val="654"/>
    <w:uiPriority w:val="39"/>
    <w:unhideWhenUsed/>
    <w:pPr>
      <w:ind w:left="567" w:right="0" w:firstLine="0"/>
      <w:spacing w:before="0" w:after="57"/>
    </w:pPr>
  </w:style>
  <w:style w:type="paragraph" w:styleId="705">
    <w:name w:val="toc 4"/>
    <w:basedOn w:val="654"/>
    <w:next w:val="654"/>
    <w:uiPriority w:val="39"/>
    <w:unhideWhenUsed/>
    <w:pPr>
      <w:ind w:left="850" w:right="0" w:firstLine="0"/>
      <w:spacing w:before="0" w:after="57"/>
    </w:pPr>
  </w:style>
  <w:style w:type="paragraph" w:styleId="70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0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0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0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1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11">
    <w:name w:val="Index Heading"/>
    <w:basedOn w:val="688"/>
  </w:style>
  <w:style w:type="paragraph" w:styleId="712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/>
      <w:color w:val="auto"/>
      <w:sz w:val="22"/>
      <w:szCs w:val="22"/>
      <w:lang w:val="ru-RU" w:eastAsia="en-US" w:bidi="ar-SA"/>
    </w:rPr>
  </w:style>
  <w:style w:type="paragraph" w:styleId="713">
    <w:name w:val="table of figures"/>
    <w:basedOn w:val="654"/>
    <w:next w:val="654"/>
    <w:uiPriority w:val="99"/>
    <w:unhideWhenUsed/>
    <w:qFormat/>
    <w:pPr>
      <w:spacing w:before="0" w:after="0" w:afterAutospacing="0"/>
    </w:pPr>
  </w:style>
  <w:style w:type="paragraph" w:styleId="714">
    <w:name w:val="No Spacing"/>
    <w:basedOn w:val="654"/>
    <w:uiPriority w:val="1"/>
    <w:qFormat/>
    <w:pPr>
      <w:spacing w:before="0" w:after="0" w:line="240" w:lineRule="auto"/>
    </w:pPr>
  </w:style>
  <w:style w:type="paragraph" w:styleId="715">
    <w:name w:val="List Paragraph"/>
    <w:basedOn w:val="654"/>
    <w:uiPriority w:val="34"/>
    <w:qFormat/>
    <w:pPr>
      <w:contextualSpacing/>
      <w:ind w:left="720" w:firstLine="0"/>
      <w:spacing w:before="0" w:after="200"/>
    </w:pPr>
  </w:style>
  <w:style w:type="paragraph" w:styleId="716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shd w:val="clear" w:color="ffffff" w:fill="ffffff"/>
      <w:vertAlign w:val="baseline"/>
      <w:lang w:val="ru-RU" w:eastAsia="ru-RU" w:bidi="hi-IN"/>
    </w:rPr>
  </w:style>
  <w:style w:type="paragraph" w:styleId="717" w:customStyle="1">
    <w:name w:val="Обычная таблица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u w:val="none"/>
      <w:shd w:val="clear" w:color="ffffff" w:fill="ffffff"/>
      <w:vertAlign w:val="baseline"/>
      <w:lang w:val="ru-RU" w:eastAsia="ar-SA" w:bidi="hi-IN"/>
    </w:rPr>
  </w:style>
  <w:style w:type="numbering" w:styleId="718" w:default="1">
    <w:name w:val="No List"/>
    <w:uiPriority w:val="99"/>
    <w:semiHidden/>
    <w:unhideWhenUsed/>
    <w:qFormat/>
  </w:style>
  <w:style w:type="table" w:styleId="719">
    <w:name w:val="Table Grid"/>
    <w:basedOn w:val="8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basedOn w:val="84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4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2">
    <w:name w:val="Plain Table 2"/>
    <w:basedOn w:val="84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debf6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ddebf6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febf6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dfebf6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67a4d8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4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4d2eb" w:fill="b4d2eb" w:themeFill="accent1" w:themeFillTint="75"/>
      </w:tcPr>
    </w:tblStylePr>
    <w:tblStylePr w:type="band1Vert">
      <w:tcPr>
        <w:shd w:val="clear" w:color="b4d2eb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cPr>
        <w:shd w:val="clear" w:color="5b9bd5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6c3a1" w:fill="f6c3a1" w:themeFill="accent2" w:themeFillTint="75"/>
      </w:tcPr>
    </w:tblStylePr>
    <w:tblStylePr w:type="band1Vert">
      <w:tcPr>
        <w:shd w:val="clear" w:color="f6c3a1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cPr>
        <w:shd w:val="clear" w:color="ed7d31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d6d6d6" w:fill="d6d6d6" w:themeFill="accent3" w:themeFillTint="75"/>
      </w:tcPr>
    </w:tblStylePr>
    <w:tblStylePr w:type="band1Vert">
      <w:tcPr>
        <w:shd w:val="clear" w:color="d6d6d6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cPr>
        <w:shd w:val="clear" w:color="a5a5a5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ee189" w:fill="fee189" w:themeFill="accent4" w:themeFillTint="75"/>
      </w:tcPr>
    </w:tblStylePr>
    <w:tblStylePr w:type="band1Vert">
      <w:tcPr>
        <w:shd w:val="clear" w:color="fee189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cPr>
        <w:shd w:val="clear" w:color="ffc000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aabfe3" w:fill="aabfe3" w:themeFill="accent5" w:themeFillTint="75"/>
      </w:tcPr>
    </w:tblStylePr>
    <w:tblStylePr w:type="band1Vert">
      <w:tcPr>
        <w:shd w:val="clear" w:color="aabfe3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cPr>
        <w:shd w:val="clear" w:color="4472c4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bedba8" w:fill="bedba8" w:themeFill="accent6" w:themeFillTint="75"/>
      </w:tcPr>
    </w:tblStylePr>
    <w:tblStylePr w:type="band1Vert">
      <w:tcPr>
        <w:shd w:val="clear" w:color="bedba8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cPr>
        <w:shd w:val="clear" w:color="70ad47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ddebf6" w:fill="ddebf6" w:themeFill="accent1" w:themeFillTint="34"/>
      </w:tcPr>
    </w:tblStylePr>
    <w:tblStylePr w:type="band1Vert">
      <w:tcPr>
        <w:shd w:val="clear" w:color="ddebf6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be5d6" w:fill="fbe5d6" w:themeFill="accent2" w:themeFillTint="32"/>
      </w:tcPr>
    </w:tblStylePr>
    <w:tblStylePr w:type="band1Vert">
      <w:tcPr>
        <w:shd w:val="clear" w:color="fbe5d6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ededed" w:fill="ededed" w:themeFill="accent3" w:themeFillTint="34"/>
      </w:tcPr>
    </w:tblStylePr>
    <w:tblStylePr w:type="band1Vert">
      <w:tcPr>
        <w:shd w:val="clear" w:color="ededed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ef2cb" w:fill="fef2cb" w:themeFill="accent4" w:themeFillTint="34"/>
      </w:tcPr>
    </w:tblStylePr>
    <w:tblStylePr w:type="band1Vert">
      <w:tcPr>
        <w:shd w:val="clear" w:color="fef2cb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d9e2f2" w:fill="d9e2f2" w:themeFill="accent5" w:themeFillTint="34"/>
      </w:tcPr>
    </w:tblStylePr>
    <w:tblStylePr w:type="band1Vert">
      <w:tcPr>
        <w:shd w:val="clear" w:color="d9e2f2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e2efd8" w:fill="e2efd8" w:themeFill="accent6" w:themeFillTint="34"/>
      </w:tcPr>
    </w:tblStylePr>
    <w:tblStylePr w:type="band1Vert">
      <w:tcPr>
        <w:shd w:val="clear" w:color="e2efd8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8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4b185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9c9c9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d864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eabdb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ad08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5e6f4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d5e6f4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b9bd5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adecb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ed7d31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e8e8e8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5a5a5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efb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c000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cfdcf0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cfdcf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472c4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dbebd0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dbebd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70ad47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5b9bd5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5b9bd5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5b9bd5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4b185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4b185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4b185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c9c9c9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c9c9c9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9c9c9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d864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d864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d864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8eabdb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8eabdb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8eabdb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ad08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ad08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ad08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d5e6f4" w:fill="d5e6f4" w:themeFill="accent1" w:themeFillTint="40"/>
      </w:tcPr>
    </w:tblStylePr>
    <w:tblStylePr w:type="band1Vert">
      <w:tcPr>
        <w:shd w:val="clear" w:color="d5e6f4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1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adecb" w:fill="fadecb" w:themeFill="accent2" w:themeFillTint="40"/>
      </w:tcPr>
    </w:tblStylePr>
    <w:tblStylePr w:type="band1Vert">
      <w:tcPr>
        <w:shd w:val="clear" w:color="fadecb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e8e8e8" w:fill="e8e8e8" w:themeFill="accent3" w:themeFillTint="40"/>
      </w:tcPr>
    </w:tblStylePr>
    <w:tblStylePr w:type="band1Vert">
      <w:tcPr>
        <w:shd w:val="clear" w:color="e8e8e8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efbf" w:fill="ffefbf" w:themeFill="accent4" w:themeFillTint="40"/>
      </w:tcPr>
    </w:tblStylePr>
    <w:tblStylePr w:type="band1Vert">
      <w:tcPr>
        <w:shd w:val="clear" w:color="ffefb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cfdcf0" w:fill="cfdcf0" w:themeFill="accent5" w:themeFillTint="40"/>
      </w:tcPr>
    </w:tblStylePr>
    <w:tblStylePr w:type="band1Vert">
      <w:tcPr>
        <w:shd w:val="clear" w:color="cfdcf0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dbebd0" w:fill="dbebd0" w:themeFill="accent6" w:themeFillTint="40"/>
      </w:tcPr>
    </w:tblStylePr>
    <w:tblStylePr w:type="band1Vert">
      <w:tcPr>
        <w:shd w:val="clear" w:color="dbebd0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2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2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2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2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2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3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3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83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ce0f1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cce0f1" w:fill="cce0f1" w:themeFill="accent1" w:themeFillTint="50"/>
      </w:tcPr>
    </w:tblStylePr>
    <w:tblStylePr w:type="fir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firstRow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Col">
      <w:rPr>
        <w:color w:val="f2f2f2"/>
        <w:sz w:val="22"/>
      </w:rPr>
      <w:tcPr>
        <w:shd w:val="clear" w:color="67a4d8" w:fill="67a4d8" w:themeFill="accent1" w:themeFillTint="EA"/>
      </w:tcPr>
    </w:tblStylePr>
    <w:tblStylePr w:type="lastRow">
      <w:rPr>
        <w:color w:val="f2f2f2"/>
        <w:sz w:val="22"/>
      </w:rPr>
      <w:tcPr>
        <w:shd w:val="clear" w:color="67a4d8" w:fill="67a4d8" w:themeFill="accent1" w:themeFillTint="EA"/>
      </w:tcPr>
    </w:tblStylePr>
  </w:style>
  <w:style w:type="table" w:styleId="83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Col">
      <w:rPr>
        <w:color w:val="f2f2f2"/>
        <w:sz w:val="22"/>
      </w:rPr>
      <w:tcPr>
        <w:shd w:val="clear" w:color="f4b185" w:fill="f4b185" w:themeFill="accent2" w:themeFillTint="97"/>
      </w:tcPr>
    </w:tblStylePr>
    <w:tblStylePr w:type="lastRow">
      <w:rPr>
        <w:color w:val="f2f2f2"/>
        <w:sz w:val="22"/>
      </w:rPr>
      <w:tcPr>
        <w:shd w:val="clear" w:color="f4b185" w:fill="f4b185" w:themeFill="accent2" w:themeFillTint="97"/>
      </w:tcPr>
    </w:tblStylePr>
  </w:style>
  <w:style w:type="table" w:styleId="83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deded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ededed" w:fill="ededed" w:themeFill="accent3" w:themeFillTint="34"/>
      </w:tcPr>
    </w:tblStylePr>
    <w:tblStylePr w:type="fir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cPr>
        <w:shd w:val="clear" w:color="a5a5a5" w:fill="a5a5a5" w:themeFill="accent3" w:themeFillTint="FE"/>
      </w:tcPr>
    </w:tblStylePr>
  </w:style>
  <w:style w:type="table" w:styleId="83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ef2cb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ef2cb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d864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d864" w:fill="ffd864" w:themeFill="accent4" w:themeFillTint="9A"/>
      </w:tcPr>
    </w:tblStylePr>
  </w:style>
  <w:style w:type="table" w:styleId="83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9e2f2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d9e2f2" w:fill="d9e2f2" w:themeFill="accent5" w:themeFillTint="34"/>
      </w:tcPr>
    </w:tblStylePr>
    <w:tblStylePr w:type="firstCol">
      <w:rPr>
        <w:color w:val="f2f2f2"/>
        <w:sz w:val="22"/>
      </w:rPr>
      <w:tcPr>
        <w:shd w:val="clear" w:color="4472c4" w:fill="4472c4" w:themeFill="accent5"/>
      </w:tcPr>
    </w:tblStylePr>
    <w:tblStylePr w:type="firstRow">
      <w:rPr>
        <w:color w:val="f2f2f2"/>
        <w:sz w:val="22"/>
      </w:rPr>
      <w:tcPr>
        <w:shd w:val="clear" w:color="4472c4" w:fill="4472c4" w:themeFill="accent5"/>
      </w:tcPr>
    </w:tblStylePr>
    <w:tblStylePr w:type="lastCol">
      <w:rPr>
        <w:color w:val="f2f2f2"/>
        <w:sz w:val="22"/>
      </w:rPr>
      <w:tcPr>
        <w:shd w:val="clear" w:color="4472c4" w:fill="4472c4" w:themeFill="accent5"/>
      </w:tcPr>
    </w:tblStylePr>
    <w:tblStylePr w:type="lastRow">
      <w:rPr>
        <w:color w:val="f2f2f2"/>
        <w:sz w:val="22"/>
      </w:rPr>
      <w:tcPr>
        <w:shd w:val="clear" w:color="4472c4" w:fill="4472c4" w:themeFill="accent5"/>
      </w:tcPr>
    </w:tblStylePr>
  </w:style>
  <w:style w:type="table" w:styleId="83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2efd8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e2efd8" w:fill="e2efd8" w:themeFill="accent6" w:themeFillTint="34"/>
      </w:tcPr>
    </w:tblStylePr>
    <w:tblStylePr w:type="firstCol">
      <w:rPr>
        <w:color w:val="f2f2f2"/>
        <w:sz w:val="22"/>
      </w:rPr>
      <w:tcPr>
        <w:shd w:val="clear" w:color="70ad47" w:fill="70ad47" w:themeFill="accent6"/>
      </w:tcPr>
    </w:tblStylePr>
    <w:tblStylePr w:type="firstRow">
      <w:rPr>
        <w:color w:val="f2f2f2"/>
        <w:sz w:val="22"/>
      </w:rPr>
      <w:tcPr>
        <w:shd w:val="clear" w:color="70ad47" w:fill="70ad47" w:themeFill="accent6"/>
      </w:tcPr>
    </w:tblStylePr>
    <w:tblStylePr w:type="lastCol">
      <w:rPr>
        <w:color w:val="f2f2f2"/>
        <w:sz w:val="22"/>
      </w:rPr>
      <w:tcPr>
        <w:shd w:val="clear" w:color="70ad47" w:fill="70ad47" w:themeFill="accent6"/>
      </w:tcPr>
    </w:tblStylePr>
    <w:tblStylePr w:type="lastRow">
      <w:rPr>
        <w:color w:val="f2f2f2"/>
        <w:sz w:val="22"/>
      </w:rPr>
      <w:tcPr>
        <w:shd w:val="clear" w:color="70ad47" w:fill="70ad47" w:themeFill="accent6"/>
      </w:tcPr>
    </w:tblStylePr>
  </w:style>
  <w:style w:type="table" w:styleId="83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3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4025.00.30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муниципального образования - Сараевский муниципальный район Рязанской области от 26.01.2017 N 447(ред. от 08.07.2025)"Об утверждении Правил землепользования и застройки муниципального образования - Высоковское сельское поселение Сараевского муниципального района Рязанской области"</dc:title>
  <dc:subject/>
  <dc:creator/>
  <dc:description/>
  <dc:language>ru-RU</dc:language>
  <cp:lastModifiedBy>div</cp:lastModifiedBy>
  <cp:revision>19</cp:revision>
  <dcterms:created xsi:type="dcterms:W3CDTF">2025-11-06T16:12:00Z</dcterms:created>
  <dcterms:modified xsi:type="dcterms:W3CDTF">2026-01-23T08:12:39Z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