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70" w:rsidRDefault="00DD79B0">
      <w:pPr>
        <w:spacing w:after="0" w:line="283" w:lineRule="atLeast"/>
        <w:ind w:firstLine="65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Приложение № 2</w:t>
      </w:r>
    </w:p>
    <w:p w:rsidR="00736D70" w:rsidRDefault="00DD79B0">
      <w:pPr>
        <w:spacing w:after="0" w:line="283" w:lineRule="atLeast"/>
        <w:ind w:firstLine="65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к постановлению главного управления</w:t>
      </w:r>
    </w:p>
    <w:p w:rsidR="00736D70" w:rsidRDefault="00DD79B0">
      <w:pPr>
        <w:spacing w:after="0" w:line="283" w:lineRule="atLeast"/>
        <w:ind w:firstLine="65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архитектуры и градостроительства</w:t>
      </w:r>
    </w:p>
    <w:p w:rsidR="00736D70" w:rsidRDefault="00DD79B0">
      <w:pPr>
        <w:spacing w:after="0" w:line="283" w:lineRule="atLeast"/>
        <w:ind w:firstLine="65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Рязанской области</w:t>
      </w:r>
    </w:p>
    <w:p w:rsidR="00736D70" w:rsidRDefault="00DD79B0">
      <w:pPr>
        <w:spacing w:after="0" w:line="283" w:lineRule="atLeast"/>
        <w:ind w:firstLine="65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от 22 января 2026 г.  № 30-п</w:t>
      </w:r>
    </w:p>
    <w:p w:rsidR="00736D70" w:rsidRDefault="00736D70">
      <w:pPr>
        <w:pStyle w:val="1"/>
        <w:spacing w:before="0" w:after="0"/>
        <w:contextualSpacing/>
        <w:rPr>
          <w:rFonts w:ascii="Times New Roman" w:hAnsi="Times New Roman" w:cs="Times New Roman"/>
        </w:rPr>
      </w:pPr>
    </w:p>
    <w:p w:rsidR="00736D70" w:rsidRDefault="00736D70">
      <w:pPr>
        <w:spacing w:after="0"/>
        <w:ind w:firstLine="540"/>
        <w:jc w:val="both"/>
        <w:outlineLvl w:val="0"/>
        <w:rPr>
          <w:rFonts w:ascii="Times New Roman" w:hAnsi="Times New Roman"/>
        </w:rPr>
      </w:pPr>
    </w:p>
    <w:p w:rsidR="00736D70" w:rsidRDefault="00320915">
      <w:pPr>
        <w:spacing w:after="0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«2.1. РП </w:t>
      </w:r>
      <w:bookmarkStart w:id="0" w:name="_GoBack"/>
      <w:bookmarkEnd w:id="0"/>
      <w:r w:rsidR="00DD79B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Поселковая рекреационная зона</w:t>
      </w:r>
    </w:p>
    <w:p w:rsidR="00736D70" w:rsidRDefault="00736D70">
      <w:pPr>
        <w:pStyle w:val="11"/>
        <w:rPr>
          <w:rFonts w:eastAsia="Times New Roman" w:cs="Times New Roman"/>
          <w:szCs w:val="28"/>
          <w:lang w:eastAsia="zh-CN"/>
        </w:rPr>
      </w:pPr>
    </w:p>
    <w:p w:rsidR="00736D70" w:rsidRDefault="00DD79B0">
      <w:pPr>
        <w:spacing w:after="198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Поселковая рекреационная зона выделена с целью сохранения существующих зеленых зон населенных пунктов их благоустройства, а также создания новых мест отдыха населения.</w:t>
      </w:r>
    </w:p>
    <w:p w:rsidR="00736D70" w:rsidRDefault="00DD79B0">
      <w:pPr>
        <w:spacing w:after="0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зоне «РП Поселковая рекреационная зона» </w:t>
      </w:r>
      <w:r>
        <w:rPr>
          <w:rFonts w:ascii="Times New Roman" w:hAnsi="Times New Roman" w:cs="Times New Roman"/>
          <w:sz w:val="28"/>
          <w:szCs w:val="28"/>
        </w:rPr>
        <w:t>представлены в таблице 2.1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D70" w:rsidRDefault="00DD79B0">
      <w:pPr>
        <w:pStyle w:val="af8"/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2.1.1</w:t>
      </w:r>
    </w:p>
    <w:tbl>
      <w:tblPr>
        <w:tblW w:w="10260" w:type="dxa"/>
        <w:tblInd w:w="-2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5235"/>
        <w:gridCol w:w="2584"/>
      </w:tblGrid>
      <w:tr w:rsidR="00736D70">
        <w:trPr>
          <w:tblHeader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tabs>
                <w:tab w:val="left" w:pos="390"/>
              </w:tabs>
              <w:spacing w:before="0" w:after="0"/>
              <w:ind w:left="113" w:firstLine="170"/>
              <w:jc w:val="center"/>
            </w:pPr>
            <w:r>
              <w:t>Вид разрешенного использования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jc w:val="center"/>
            </w:pPr>
            <w:r>
              <w:t>Наименование вида</w:t>
            </w:r>
          </w:p>
          <w:p w:rsidR="00736D70" w:rsidRDefault="00DD79B0">
            <w:pPr>
              <w:pStyle w:val="aff0"/>
              <w:jc w:val="center"/>
            </w:pPr>
            <w:r>
              <w:t>разрешенного использования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70" w:rsidRDefault="00DD79B0">
            <w:pPr>
              <w:pStyle w:val="aff0"/>
              <w:jc w:val="center"/>
            </w:pPr>
            <w:r>
              <w:t>Код вида разрешенного использования</w:t>
            </w:r>
          </w:p>
        </w:tc>
      </w:tr>
      <w:tr w:rsidR="00736D70">
        <w:trPr>
          <w:trHeight w:val="247"/>
        </w:trPr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736D70">
            <w:pPr>
              <w:widowControl w:val="0"/>
              <w:spacing w:after="0"/>
              <w:ind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D70" w:rsidRDefault="00DD79B0">
            <w:pPr>
              <w:widowControl w:val="0"/>
              <w:spacing w:after="0"/>
              <w:ind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</w:t>
            </w:r>
          </w:p>
          <w:p w:rsidR="00736D70" w:rsidRDefault="00DD79B0">
            <w:pPr>
              <w:widowControl w:val="0"/>
              <w:spacing w:after="0"/>
              <w:ind w:left="-170"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разрешенного </w:t>
            </w:r>
          </w:p>
          <w:p w:rsidR="00736D70" w:rsidRDefault="00DD79B0">
            <w:pPr>
              <w:widowControl w:val="0"/>
              <w:spacing w:after="0"/>
              <w:ind w:left="-170"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 w:firstLine="283"/>
            </w:pPr>
            <w:r>
              <w:t>природно-познавательный туризм;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70" w:rsidRDefault="00DD79B0">
            <w:pPr>
              <w:pStyle w:val="aff0"/>
              <w:jc w:val="center"/>
            </w:pPr>
            <w:r>
              <w:t>5.2</w:t>
            </w:r>
          </w:p>
        </w:tc>
      </w:tr>
      <w:tr w:rsidR="00736D70">
        <w:trPr>
          <w:trHeight w:val="247"/>
        </w:trPr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736D70">
            <w:pPr>
              <w:widowControl w:val="0"/>
              <w:spacing w:after="0"/>
              <w:ind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 w:firstLine="283"/>
            </w:pPr>
            <w:r>
              <w:t>охрана природных территорий;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70" w:rsidRDefault="00DD79B0">
            <w:pPr>
              <w:pStyle w:val="aff0"/>
              <w:jc w:val="center"/>
            </w:pPr>
            <w:r>
              <w:t>9.1</w:t>
            </w:r>
          </w:p>
        </w:tc>
      </w:tr>
      <w:tr w:rsidR="00736D70">
        <w:trPr>
          <w:trHeight w:val="247"/>
        </w:trPr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736D70">
            <w:pPr>
              <w:widowControl w:val="0"/>
              <w:spacing w:after="0"/>
              <w:ind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 w:firstLine="283"/>
            </w:pPr>
            <w:r>
              <w:t>земельные участки (территории) общего пользования.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70" w:rsidRDefault="00DD79B0">
            <w:pPr>
              <w:pStyle w:val="aff0"/>
              <w:jc w:val="center"/>
            </w:pPr>
            <w:r>
              <w:t>12.0</w:t>
            </w:r>
          </w:p>
        </w:tc>
      </w:tr>
      <w:tr w:rsidR="00736D70"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113" w:firstLine="170"/>
            </w:pPr>
            <w:r>
              <w:t>Условно разрешенные виды использования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 w:firstLine="283"/>
            </w:pPr>
            <w:r>
              <w:t>не подлежат установлению.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70" w:rsidRDefault="00DD79B0">
            <w:pPr>
              <w:pStyle w:val="aff0"/>
              <w:jc w:val="center"/>
            </w:pPr>
            <w:r>
              <w:rPr>
                <w:rFonts w:eastAsia="NSimSun" w:cs="Arial"/>
                <w:lang w:eastAsia="zh-CN"/>
              </w:rPr>
              <w:t>-</w:t>
            </w:r>
          </w:p>
        </w:tc>
      </w:tr>
      <w:tr w:rsidR="00736D70"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113" w:firstLine="170"/>
            </w:pPr>
            <w:r>
              <w:t>Вспомогательные</w:t>
            </w:r>
          </w:p>
          <w:p w:rsidR="00736D70" w:rsidRDefault="00DD79B0">
            <w:pPr>
              <w:pStyle w:val="aff0"/>
              <w:spacing w:before="0" w:after="0"/>
              <w:ind w:left="113"/>
            </w:pPr>
            <w:r>
              <w:t>виды разрешенного использования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 w:firstLine="283"/>
            </w:pPr>
            <w:r>
              <w:t>не подлежат установлению.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70" w:rsidRDefault="00DD79B0">
            <w:pPr>
              <w:pStyle w:val="aff0"/>
              <w:jc w:val="center"/>
            </w:pPr>
            <w:r>
              <w:t>-</w:t>
            </w:r>
          </w:p>
        </w:tc>
      </w:tr>
    </w:tbl>
    <w:p w:rsidR="00736D70" w:rsidRDefault="00736D7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736D70" w:rsidRDefault="00DD79B0">
      <w:pPr>
        <w:spacing w:after="0" w:line="240" w:lineRule="auto"/>
        <w:ind w:left="-57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«РП Поселковая рекреационная зона»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представлены в таблице в таблице 2.1.2.</w:t>
      </w:r>
    </w:p>
    <w:p w:rsidR="00736D70" w:rsidRDefault="00DD79B0">
      <w:pPr>
        <w:pStyle w:val="af8"/>
        <w:widowControl w:val="0"/>
        <w:spacing w:after="0" w:line="240" w:lineRule="auto"/>
        <w:ind w:firstLine="680"/>
        <w:jc w:val="right"/>
        <w:rPr>
          <w:rFonts w:ascii="Times New Roman" w:hAnsi="Times New Roma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/>
        </w:rPr>
        <w:t>Таблица 2.1.2</w:t>
      </w:r>
    </w:p>
    <w:tbl>
      <w:tblPr>
        <w:tblW w:w="10599" w:type="dxa"/>
        <w:tblInd w:w="-2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95"/>
        <w:gridCol w:w="979"/>
        <w:gridCol w:w="840"/>
        <w:gridCol w:w="959"/>
        <w:gridCol w:w="1547"/>
        <w:gridCol w:w="2039"/>
        <w:gridCol w:w="1919"/>
        <w:gridCol w:w="339"/>
      </w:tblGrid>
      <w:tr w:rsidR="00736D70">
        <w:trPr>
          <w:trHeight w:val="791"/>
          <w:tblHeader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Код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вида раз-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решенного использования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r>
              <w:t>земельного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Площадь земельного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участка (</w:t>
            </w:r>
            <w:r>
              <w:rPr>
                <w:rFonts w:eastAsia="Calibri" w:cs="Calibri"/>
                <w:lang w:eastAsia="zh-CN" w:bidi="ar-SA"/>
              </w:rPr>
              <w:t>кв.м</w:t>
            </w:r>
            <w:r>
              <w:t>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Минималь-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ный отступ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от границ земельного участка (м)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 xml:space="preserve">Максимальный процент застройки в границах земельного участка </w:t>
            </w:r>
            <w:r>
              <w:rPr>
                <w:rFonts w:eastAsia="Calibri"/>
                <w:lang w:eastAsia="zh-CN" w:bidi="ar-SA"/>
              </w:rPr>
              <w:t>(%)</w:t>
            </w:r>
          </w:p>
        </w:tc>
        <w:tc>
          <w:tcPr>
            <w:tcW w:w="339" w:type="dxa"/>
            <w:vMerge w:val="restart"/>
          </w:tcPr>
          <w:p w:rsidR="00736D70" w:rsidRDefault="00736D70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736D70">
        <w:trPr>
          <w:trHeight w:hRule="exact" w:val="977"/>
          <w:tblHeader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736D7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736D7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736D7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70" w:rsidRDefault="00736D7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39" w:type="dxa"/>
            <w:vMerge/>
          </w:tcPr>
          <w:p w:rsidR="00736D70" w:rsidRDefault="00736D7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36D70">
        <w:trPr>
          <w:trHeight w:hRule="exact" w:val="283"/>
        </w:trPr>
        <w:tc>
          <w:tcPr>
            <w:tcW w:w="1025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  <w:tc>
          <w:tcPr>
            <w:tcW w:w="339" w:type="dxa"/>
            <w:vAlign w:val="center"/>
          </w:tcPr>
          <w:p w:rsidR="00736D70" w:rsidRDefault="00736D70">
            <w:pPr>
              <w:pStyle w:val="aff0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736D70">
        <w:trPr>
          <w:trHeight w:hRule="exact" w:val="283"/>
        </w:trPr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5.2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339" w:type="dxa"/>
            <w:vAlign w:val="center"/>
          </w:tcPr>
          <w:p w:rsidR="00736D70" w:rsidRDefault="00736D70">
            <w:pPr>
              <w:pStyle w:val="aff0"/>
              <w:spacing w:before="0" w:after="0"/>
              <w:ind w:left="0"/>
              <w:jc w:val="center"/>
            </w:pPr>
          </w:p>
        </w:tc>
      </w:tr>
      <w:tr w:rsidR="00736D70">
        <w:trPr>
          <w:trHeight w:hRule="exact" w:val="283"/>
        </w:trPr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9.1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НПУ</w:t>
            </w:r>
          </w:p>
        </w:tc>
        <w:tc>
          <w:tcPr>
            <w:tcW w:w="339" w:type="dxa"/>
            <w:vAlign w:val="center"/>
          </w:tcPr>
          <w:p w:rsidR="00736D70" w:rsidRDefault="00736D70">
            <w:pPr>
              <w:pStyle w:val="aff0"/>
              <w:spacing w:before="0" w:after="0"/>
              <w:ind w:left="0"/>
              <w:jc w:val="center"/>
            </w:pPr>
          </w:p>
        </w:tc>
      </w:tr>
      <w:tr w:rsidR="00736D70">
        <w:trPr>
          <w:trHeight w:hRule="exact" w:val="283"/>
        </w:trPr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lang w:eastAsia="zh-CN" w:bidi="ar-SA"/>
              </w:rPr>
              <w:t>2.0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НПУ</w:t>
            </w:r>
          </w:p>
        </w:tc>
        <w:tc>
          <w:tcPr>
            <w:tcW w:w="339" w:type="dxa"/>
            <w:vAlign w:val="center"/>
          </w:tcPr>
          <w:p w:rsidR="00736D70" w:rsidRDefault="00DD79B0">
            <w:pPr>
              <w:pStyle w:val="aff0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».</w:t>
            </w:r>
          </w:p>
        </w:tc>
      </w:tr>
    </w:tbl>
    <w:p w:rsidR="00736D70" w:rsidRDefault="00736D70">
      <w:pPr>
        <w:spacing w:after="0" w:line="283" w:lineRule="atLeast"/>
        <w:rPr>
          <w:rFonts w:ascii="Times New Roman" w:hAnsi="Times New Roman"/>
          <w:sz w:val="28"/>
        </w:rPr>
      </w:pPr>
    </w:p>
    <w:p w:rsidR="00736D70" w:rsidRDefault="00736D70">
      <w:pPr>
        <w:ind w:left="-283" w:right="-141" w:firstLine="283"/>
        <w:rPr>
          <w:rFonts w:eastAsia="NSimSun" w:cs="Times New Roman"/>
          <w:sz w:val="28"/>
          <w:szCs w:val="28"/>
          <w:lang w:eastAsia="zh-CN"/>
        </w:rPr>
      </w:pPr>
    </w:p>
    <w:sectPr w:rsidR="00736D70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B0" w:rsidRDefault="00DD79B0">
      <w:pPr>
        <w:spacing w:after="0" w:line="240" w:lineRule="auto"/>
      </w:pPr>
      <w:r>
        <w:separator/>
      </w:r>
    </w:p>
  </w:endnote>
  <w:endnote w:type="continuationSeparator" w:id="0">
    <w:p w:rsidR="00DD79B0" w:rsidRDefault="00DD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erif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B0" w:rsidRDefault="00DD79B0">
      <w:pPr>
        <w:spacing w:after="0" w:line="240" w:lineRule="auto"/>
      </w:pPr>
      <w:r>
        <w:separator/>
      </w:r>
    </w:p>
  </w:footnote>
  <w:footnote w:type="continuationSeparator" w:id="0">
    <w:p w:rsidR="00DD79B0" w:rsidRDefault="00DD7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70"/>
    <w:rsid w:val="00320915"/>
    <w:rsid w:val="00736D70"/>
    <w:rsid w:val="00D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015A"/>
  <w15:docId w15:val="{9B8D29F2-4CD8-4A7E-96A3-52588D23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Название объекта Знак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23">
    <w:name w:val="Основной шрифт абзаца2"/>
    <w:qFormat/>
  </w:style>
  <w:style w:type="paragraph" w:styleId="a4">
    <w:name w:val="Title"/>
    <w:basedOn w:val="a"/>
    <w:next w:val="af8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a">
    <w:name w:val="index heading"/>
    <w:basedOn w:val="a4"/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pPr>
      <w:spacing w:after="200" w:line="276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No Spacing"/>
    <w:basedOn w:val="a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сновной текст1"/>
    <w:qFormat/>
    <w:pPr>
      <w:widowControl w:val="0"/>
      <w:ind w:firstLine="709"/>
    </w:pPr>
    <w:rPr>
      <w:rFonts w:ascii="Times New Roman" w:eastAsia="Tahoma" w:hAnsi="Times New Roman" w:cs="Liberation Serif"/>
      <w:color w:val="000000"/>
      <w:sz w:val="28"/>
      <w:szCs w:val="24"/>
      <w:lang w:eastAsia="ru-RU" w:bidi="hi-IN"/>
    </w:rPr>
  </w:style>
  <w:style w:type="paragraph" w:customStyle="1" w:styleId="aff0">
    <w:name w:val="Содержимое таблицы"/>
    <w:qFormat/>
    <w:pPr>
      <w:widowControl w:val="0"/>
      <w:suppressLineNumbers/>
      <w:spacing w:before="100" w:after="100"/>
      <w:ind w:left="28"/>
    </w:pPr>
    <w:rPr>
      <w:rFonts w:ascii="Times New Roman" w:eastAsia="Tahoma" w:hAnsi="Times New Roman" w:cs="Liberation Serif"/>
      <w:color w:val="000000"/>
      <w:sz w:val="24"/>
      <w:szCs w:val="24"/>
      <w:lang w:eastAsia="ru-RU" w:bidi="hi-IN"/>
    </w:r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</cp:revision>
  <dcterms:created xsi:type="dcterms:W3CDTF">2025-06-18T16:22:00Z</dcterms:created>
  <dcterms:modified xsi:type="dcterms:W3CDTF">2026-01-23T07:46:00Z</dcterms:modified>
  <dc:language>ru-RU</dc:language>
</cp:coreProperties>
</file>