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8" w:lineRule="auto"/>
        <w:rPr>
          <w:rFonts w:ascii="Times New Roman" w:hAnsi="Times New Roman" w:eastAsia="Times New Roman" w:cs="Times New Roman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991870"/>
                <wp:effectExtent l="0" t="0" r="0" b="0"/>
                <wp:docPr id="1" name="Рисунок 1" descr="Gerb_69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6" descr="Gerb_69K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5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5pt;height:78.1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32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  <w:t xml:space="preserve">МИНИСТЕРСТВО ЦИФРОВОГО РАЗВИТИЯ, ИНФОРМАЦИОННЫХ ТЕХНОЛОГИЙ И СВЯЗИ</w:t>
      </w:r>
      <w:r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  <w:t xml:space="preserve">РЯЗАНСКОЙ ОБЛАСТИ</w:t>
      </w:r>
      <w:r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0"/>
          <w:lang w:eastAsia="ru-RU"/>
        </w:rPr>
      </w:r>
      <w:r/>
    </w:p>
    <w:p>
      <w:pPr>
        <w:jc w:val="center"/>
        <w:spacing w:after="0" w:line="192" w:lineRule="auto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  <w:r/>
    </w:p>
    <w:p>
      <w:pPr>
        <w:jc w:val="center"/>
        <w:spacing w:after="0" w:line="192" w:lineRule="auto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  <w:r/>
    </w:p>
    <w:p>
      <w:pPr>
        <w:jc w:val="center"/>
        <w:spacing w:after="0" w:line="192" w:lineRule="auto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  <w:r/>
    </w:p>
    <w:p>
      <w:pPr>
        <w:jc w:val="center"/>
        <w:spacing w:after="0" w:line="192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141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внесении изменений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некоторые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министерства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цифрового развития,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ормационных технологий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связи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язанской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firstLine="141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инистерство цифрового развития, информационных технологий </w:t>
        <w:br/>
        <w:t xml:space="preserve">и связи Рязанской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министерства промышленности, инновационных и информационных технологий Рязанской области от 5 мая 2012 г. № 6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сети видеоконференцсвязи Правительства Рязанской области» (в редакции постановления Минпрома Рязанской области от 20.02.2017 № 1,  постановления Мининформа Рязанской области от 17.02.2021 № 13, постановления Минцифры Рязанской области от 13.03.2023 № 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82"/>
        <w:numPr>
          <w:ilvl w:val="1"/>
          <w:numId w:val="5"/>
        </w:numPr>
        <w:ind w:left="0" w:right="0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тексту слова «муниципальных районов и городских округов» заменить на слова «муниципальных округов, районов и городских округов».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    в приложении: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разделе 1 «Основные термины и определения» слова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рафик Сеансов, размещенный на сайте Мининформа Рязанской области по адресу </w:t>
      </w:r>
      <w:hyperlink r:id="rId12" w:tooltip="https://it.ryazangov.ru/direction/svayz/VKS/" w:history="1">
        <w:r>
          <w:rPr>
            <w:rStyle w:val="844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https://it.ryazangov.ru/direction/svayz/VKS/</w:t>
        </w:r>
        <w:r>
          <w:rPr>
            <w:rStyle w:val="844"/>
            <w:color w:val="000000" w:themeColor="text1"/>
            <w:sz w:val="28"/>
            <w:szCs w:val="28"/>
          </w:rPr>
        </w:r>
        <w:r>
          <w:rPr>
            <w:rStyle w:val="844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заменить на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«график Сеансов, размещенный на сайте государственного казенного учреждения Рязанской области «Центр информационных технологий Рязанской области по адресу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13" w:tooltip="https://rzncit.ru/working/vks.html." w:history="1">
        <w:r>
          <w:rPr>
            <w:rStyle w:val="844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https://rzncit.ru/working/vks.html</w:t>
        </w:r>
        <w:r>
          <w:rPr>
            <w:rStyle w:val="84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пункте 4.2. слова «</w:t>
      </w:r>
      <w:hyperlink r:id="rId14" w:tooltip="http://vks@ryazangov.ru" w:history="1">
        <w:r>
          <w:rPr>
            <w:rStyle w:val="844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  <w:t xml:space="preserve">vks@ryazangov.ru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заменить на слова «iep@ryazan.gov.ru» ;</w:t>
      </w:r>
      <w:r>
        <w:rPr>
          <w:rFonts w:ascii="Times New Roman" w:hAnsi="Times New Roman" w:cs="Times New Roman"/>
          <w:highlight w:val="none"/>
        </w:rPr>
      </w:r>
      <w:r/>
    </w:p>
    <w:p>
      <w:pPr>
        <w:ind w:left="709" w:right="0" w:firstLine="0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пункт 4.8.2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«4.8.2. С участием Вице-губернатора Правительства Рязанской области;».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Внести в приложение № 1 к постановлению министерства цифрового развития, информационных технологий и связи Рязанской области </w:t>
        <w:br/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октября 2024 г. №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утверждении положения </w:t>
        <w:br/>
        <w:t xml:space="preserve">о государственной информационной системе о государственных </w:t>
        <w:br/>
        <w:t xml:space="preserve">и муниципальных платежах Рязанской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изменение, изложив пункт 1.5.  в новой реда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кции: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851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«1.5. Система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располагается в защищенной информационно – коммуникационной сети Правительства Рязанской области. Порядок подключения к защищенной информационно – коммуникационной сети Правительства Рязанской области регулируется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цифрового развития, информационных технологий и связи Рязанской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19 июня 2024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 регламента предоставления технологических и вычислительных ресурсов центра обработки данных Правительства Рязанской области.»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приложение к постановлению министерства цифрового развития, информационных технологий и связи Рязанской области </w:t>
        <w:br/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декабря 2024 г. №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утверждении положения о государственной информационной системе Рязанской области «Единый регистр населения Рязанской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изменение, изложив пункт 1.5. в новой реда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кции: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«1.5. Система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располагается в защищенной информационно – коммуникационной сети Правительства Рязанской области. Порядок подключения к защищенной информационно – коммуникационной сети Правительства Рязанской области регулируется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цифрового развития, информационных технологий и связи Рязанской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19 июня 2024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 регламента предоставления технологических и вычислительных ресурсов центра обработки данных Правительства Рязанской области.»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3"/>
        <w:ind w:firstLine="709"/>
        <w:jc w:val="both"/>
        <w:spacing w:before="0" w:before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цифрового развития, информационных технологий и связи Рязанской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21 марта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2025 г.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 «О внесении изменение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министерства цифрового развития, информационных технологий и связи Рязанской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от 15 июля 2020 г. № 10 «Об утверждении Положения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общественном совете при министерстве цифрового развития, информационных технологий и связи Рязанской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изменение: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numPr>
          <w:ilvl w:val="0"/>
          <w:numId w:val="3"/>
        </w:numPr>
        <w:ind w:left="0" w:right="0" w:firstLine="709"/>
        <w:jc w:val="both"/>
        <w:spacing w:before="0" w:beforeAutospacing="0" w:line="276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цифры «3.12.» заменить на цифры «3.11.».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Признать утратившим силу постановление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промышленности и наукоемких технологий Рязанской области </w:t>
        <w:br/>
        <w:t xml:space="preserve">от 12.03.2012 № 3 «Об информационно-коммуникационной сети органов государственной власти Рязанской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постановления оставляю </w:t>
        <w:br/>
        <w:t xml:space="preserve">за собой.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84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84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84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76" w:lineRule="auto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84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М.А.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Соников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6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/>
  </w:p>
  <w:p>
    <w:pPr>
      <w:pStyle w:val="84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/>
  </w:p>
  <w:p>
    <w:pPr>
      <w:pStyle w:val="8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9"/>
    <w:next w:val="839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0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9"/>
    <w:next w:val="839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0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0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0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0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0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0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0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39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39"/>
    <w:next w:val="839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0"/>
    <w:link w:val="684"/>
    <w:uiPriority w:val="10"/>
    <w:rPr>
      <w:sz w:val="48"/>
      <w:szCs w:val="48"/>
    </w:rPr>
  </w:style>
  <w:style w:type="paragraph" w:styleId="686">
    <w:name w:val="Subtitle"/>
    <w:basedOn w:val="839"/>
    <w:next w:val="839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0"/>
    <w:link w:val="686"/>
    <w:uiPriority w:val="11"/>
    <w:rPr>
      <w:sz w:val="24"/>
      <w:szCs w:val="24"/>
    </w:rPr>
  </w:style>
  <w:style w:type="paragraph" w:styleId="688">
    <w:name w:val="Quote"/>
    <w:basedOn w:val="839"/>
    <w:next w:val="839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9"/>
    <w:next w:val="839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40"/>
    <w:link w:val="848"/>
    <w:uiPriority w:val="99"/>
  </w:style>
  <w:style w:type="character" w:styleId="693">
    <w:name w:val="Footer Char"/>
    <w:basedOn w:val="840"/>
    <w:link w:val="850"/>
    <w:uiPriority w:val="99"/>
  </w:style>
  <w:style w:type="paragraph" w:styleId="694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50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44">
    <w:name w:val="Hyperlink"/>
    <w:basedOn w:val="840"/>
    <w:uiPriority w:val="99"/>
    <w:unhideWhenUsed/>
    <w:rPr>
      <w:color w:val="0000ff" w:themeColor="hyperlink"/>
      <w:u w:val="single"/>
    </w:rPr>
  </w:style>
  <w:style w:type="paragraph" w:styleId="84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6">
    <w:name w:val="Balloon Text"/>
    <w:basedOn w:val="839"/>
    <w:link w:val="8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840"/>
    <w:link w:val="846"/>
    <w:uiPriority w:val="99"/>
    <w:semiHidden/>
    <w:rPr>
      <w:rFonts w:ascii="Tahoma" w:hAnsi="Tahoma" w:cs="Tahoma"/>
      <w:sz w:val="16"/>
      <w:szCs w:val="16"/>
    </w:rPr>
  </w:style>
  <w:style w:type="paragraph" w:styleId="848">
    <w:name w:val="Header"/>
    <w:basedOn w:val="839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40"/>
    <w:link w:val="848"/>
    <w:uiPriority w:val="99"/>
  </w:style>
  <w:style w:type="paragraph" w:styleId="850">
    <w:name w:val="Footer"/>
    <w:basedOn w:val="839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40"/>
    <w:link w:val="85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it.ryazangov.ru/direction/svayz/VKS/" TargetMode="External"/><Relationship Id="rId13" Type="http://schemas.openxmlformats.org/officeDocument/2006/relationships/hyperlink" Target="https://rzncit.ru/working/vks.html." TargetMode="External"/><Relationship Id="rId14" Type="http://schemas.openxmlformats.org/officeDocument/2006/relationships/hyperlink" Target="http://vks@ryazan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7455-55B1-4B43-8578-14F0CEEE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Mincifra-NaydyonovaE</dc:creator>
  <cp:revision>19</cp:revision>
  <dcterms:created xsi:type="dcterms:W3CDTF">2023-03-16T14:45:00Z</dcterms:created>
  <dcterms:modified xsi:type="dcterms:W3CDTF">2026-01-30T06:24:01Z</dcterms:modified>
</cp:coreProperties>
</file>