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06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.02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68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 проведении общественных обсуждений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Касимовский муниципальный округ Рязанской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области применительно к территории Овчинниковского сельского округа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Касимовского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Касимовский муниципальный округ Рязанской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области применительно к территории Овчинниковского сельского округа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Касимовского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Акутина Е.К.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«11» февраля 2026 г. </w:t>
        <w:br/>
        <w:t xml:space="preserve">по «04» марта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12.02.2026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Овчинниковского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Касимовского муниципального округа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12.02.2026 г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Рязанской области: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п. Ташенка (около д. 13)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 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  <w:br/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Волково (около д. 10)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10:55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Марьино-Заречное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Чернышово-Починки (около д. 20)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br/>
        <w:t xml:space="preserve">по 11:20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Ашуково (около д. 19а)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11:30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Овчинники зд. 69 помещ. Н1 в административном здании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11:50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Неклюдово (около д. 10)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12:20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Макеенки (около д. 24)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12:40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п. ст. Касимов (около д. 2)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13:00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Бочкари (около д. 5)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13:15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  <w:rPr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Селизово (около д. 56)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13:35 час. </w:t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lang w:val="ru-RU" w:eastAsia="en-US" w:bidi="ar-SA"/>
        </w:rPr>
      </w:r>
      <w:r>
        <w:rPr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Бабино-Булыгино (около д. 59а)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«12» февраля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по 14:00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«19»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февраля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19.02.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10:30 час. по 10:40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п. Ташенка (около д. 13);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10:45 час. по 10:55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Волково (около д. 10);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Марьино-Заречное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11:15 час. по 11:20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7"/>
          <w:highlight w:val="none"/>
        </w:rPr>
        <w:t xml:space="preserve">д. Чернышово-Починки (около д. 20);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11:25 час. по 11:30 час.</w:t>
      </w:r>
      <w:r>
        <w:rPr>
          <w:sz w:val="27"/>
          <w:highlight w:val="none"/>
        </w:rPr>
        <w:t xml:space="preserve"> по адресу: Рязанская область, Касимовский округ,</w:t>
        <w:br/>
      </w:r>
      <w:r>
        <w:rPr>
          <w:sz w:val="27"/>
          <w:highlight w:val="none"/>
        </w:rPr>
        <w:t xml:space="preserve">д. Ашуково (около д. 19а);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11:35 час. по 11:50 час. </w:t>
      </w:r>
      <w:r>
        <w:rPr>
          <w:sz w:val="27"/>
          <w:highlight w:val="none"/>
        </w:rPr>
        <w:t xml:space="preserve">по адресу: Рязанская область, Касимовский округ,</w:t>
      </w:r>
      <w:r>
        <w:rPr>
          <w:sz w:val="27"/>
          <w:highlight w:val="none"/>
        </w:rPr>
        <w:t xml:space="preserve"> </w:t>
        <w:br/>
        <w:t xml:space="preserve">д. Овчинники зд. 69 помещ. Н1 в административном здании;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12:10 час. по 12:20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Неклюдово (около д. 10);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12:30 час. по 12:40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Макеенки (около д. 24);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п. ст. Касимов (около д. 2);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13:05 час. по 13:15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Бочкари (около д. 5);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</w:t>
      </w:r>
      <w:r>
        <w:rPr>
          <w:sz w:val="27"/>
          <w:highlight w:val="none"/>
        </w:rPr>
        <w:t xml:space="preserve">с 13:25 час. по 13:35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Селизово (около д. 56);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  <w:t xml:space="preserve">- с 13:50 час. по 14:00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Касимовский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Бабино-Булыгино (около д. 59а).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«19»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«12»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«19» февраля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link w:val="891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103</cp:revision>
  <dcterms:created xsi:type="dcterms:W3CDTF">2024-05-31T06:53:00Z</dcterms:created>
  <dcterms:modified xsi:type="dcterms:W3CDTF">2026-02-10T14:10:57Z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