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F8" w:rsidRDefault="003C0F5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7F8" w:rsidRDefault="003C0F5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937F8" w:rsidRDefault="003C0F5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937F8" w:rsidRDefault="005937F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937F8" w:rsidRDefault="005937F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937F8" w:rsidRDefault="003C0F5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937F8" w:rsidRDefault="005937F8">
      <w:pPr>
        <w:tabs>
          <w:tab w:val="left" w:pos="709"/>
        </w:tabs>
        <w:jc w:val="center"/>
        <w:rPr>
          <w:sz w:val="28"/>
        </w:rPr>
      </w:pPr>
    </w:p>
    <w:p w:rsidR="005937F8" w:rsidRDefault="005937F8">
      <w:pPr>
        <w:tabs>
          <w:tab w:val="left" w:pos="709"/>
        </w:tabs>
        <w:jc w:val="center"/>
        <w:rPr>
          <w:sz w:val="28"/>
        </w:rPr>
      </w:pPr>
    </w:p>
    <w:p w:rsidR="005937F8" w:rsidRDefault="003C0F5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11181">
        <w:rPr>
          <w:sz w:val="28"/>
        </w:rPr>
        <w:t>18</w:t>
      </w:r>
      <w:r>
        <w:rPr>
          <w:sz w:val="28"/>
        </w:rPr>
        <w:t>»</w:t>
      </w:r>
      <w:r w:rsidR="00211181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</w:t>
      </w:r>
      <w:r w:rsidR="00211181">
        <w:rPr>
          <w:sz w:val="28"/>
        </w:rPr>
        <w:tab/>
      </w:r>
      <w:r w:rsidR="00211181">
        <w:rPr>
          <w:sz w:val="28"/>
        </w:rPr>
        <w:tab/>
      </w:r>
      <w:r>
        <w:rPr>
          <w:sz w:val="28"/>
        </w:rPr>
        <w:t xml:space="preserve">   № </w:t>
      </w:r>
      <w:r w:rsidR="00211181">
        <w:rPr>
          <w:sz w:val="28"/>
        </w:rPr>
        <w:t>136-п</w:t>
      </w:r>
    </w:p>
    <w:p w:rsidR="005937F8" w:rsidRDefault="005937F8">
      <w:pPr>
        <w:tabs>
          <w:tab w:val="left" w:pos="709"/>
        </w:tabs>
        <w:jc w:val="both"/>
        <w:rPr>
          <w:sz w:val="28"/>
        </w:rPr>
      </w:pPr>
    </w:p>
    <w:p w:rsidR="005937F8" w:rsidRDefault="005937F8">
      <w:pPr>
        <w:tabs>
          <w:tab w:val="left" w:pos="709"/>
        </w:tabs>
        <w:jc w:val="both"/>
        <w:rPr>
          <w:sz w:val="28"/>
        </w:rPr>
      </w:pPr>
    </w:p>
    <w:p w:rsidR="005937F8" w:rsidRDefault="003C0F5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Дубровическое сельское поселение Рязанского муниципального района</w:t>
      </w:r>
    </w:p>
    <w:p w:rsidR="005937F8" w:rsidRDefault="003C0F5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5937F8" w:rsidRDefault="005937F8">
      <w:pPr>
        <w:tabs>
          <w:tab w:val="left" w:pos="709"/>
        </w:tabs>
        <w:jc w:val="center"/>
        <w:rPr>
          <w:color w:val="auto"/>
          <w:sz w:val="28"/>
        </w:rPr>
      </w:pPr>
    </w:p>
    <w:p w:rsidR="005937F8" w:rsidRDefault="003C0F5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статьи 23,</w:t>
      </w:r>
      <w:r>
        <w:rPr>
          <w:color w:val="auto"/>
          <w:sz w:val="28"/>
          <w:szCs w:val="28"/>
        </w:rPr>
        <w:t xml:space="preserve"> части 18 статьи 24, статьи 25 Град</w:t>
      </w:r>
      <w:r>
        <w:rPr>
          <w:color w:val="auto"/>
          <w:sz w:val="28"/>
          <w:szCs w:val="28"/>
        </w:rPr>
        <w:t>остроительного кодекса Российской Федерации,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color w:val="auto"/>
          <w:sz w:val="28"/>
          <w:szCs w:val="28"/>
        </w:rPr>
        <w:t xml:space="preserve">и Рязанской области», руководствуясь </w:t>
      </w:r>
      <w:r>
        <w:rPr>
          <w:color w:val="auto"/>
          <w:sz w:val="28"/>
          <w:szCs w:val="28"/>
        </w:rPr>
        <w:t xml:space="preserve">постановлениями Правительства Рязанской области </w:t>
      </w:r>
      <w:r>
        <w:rPr>
          <w:color w:val="auto"/>
          <w:sz w:val="28"/>
          <w:szCs w:val="28"/>
        </w:rPr>
        <w:t>от 29.12.2025 № 421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</w:t>
      </w:r>
      <w:r>
        <w:rPr>
          <w:color w:val="auto"/>
          <w:sz w:val="28"/>
          <w:szCs w:val="28"/>
        </w:rPr>
        <w:t>тории без проведения общественных обсуждений 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</w:t>
      </w:r>
      <w:r>
        <w:rPr>
          <w:color w:val="auto"/>
          <w:sz w:val="28"/>
          <w:szCs w:val="28"/>
        </w:rPr>
        <w:t>бласти ПОСТАНОВЛЯЕТ:</w:t>
      </w:r>
    </w:p>
    <w:p w:rsidR="005937F8" w:rsidRDefault="003C0F5B" w:rsidP="003C0F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27.11.2019 № 379-п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sz w:val="28"/>
          <w:highlight w:val="white"/>
        </w:rPr>
        <w:t>в редакции постановлений Главархитектуры Ряза</w:t>
      </w:r>
      <w:r>
        <w:rPr>
          <w:sz w:val="28"/>
          <w:highlight w:val="white"/>
        </w:rPr>
        <w:t xml:space="preserve">нской области от 21.03.2022 № 131-п, </w:t>
      </w:r>
      <w:r>
        <w:rPr>
          <w:sz w:val="28"/>
          <w:highlight w:val="white"/>
        </w:rPr>
        <w:br/>
        <w:t>от 21.06.2023 № 257-п</w:t>
      </w:r>
      <w:r>
        <w:rPr>
          <w:sz w:val="28"/>
          <w:szCs w:val="28"/>
          <w:highlight w:val="white"/>
        </w:rPr>
        <w:t xml:space="preserve">, от 07.08.2023 № 363-п, от 21.02.2024 № 65-п, от 06.03.2024 № 80-п, от 22.03.2024 № 93-п, от 31.10.2024 № 625-п, от 28.11.2024 № 688-п, </w:t>
      </w:r>
      <w:r>
        <w:rPr>
          <w:sz w:val="28"/>
          <w:szCs w:val="28"/>
          <w:highlight w:val="white"/>
        </w:rPr>
        <w:br/>
        <w:t xml:space="preserve">от 22.01.2025 № 53-п, от 27.05.2025 № 418-п, от 24.07.2025 </w:t>
      </w:r>
      <w:r>
        <w:rPr>
          <w:sz w:val="28"/>
          <w:szCs w:val="28"/>
          <w:highlight w:val="white"/>
        </w:rPr>
        <w:t xml:space="preserve">№ 583-п, </w:t>
      </w:r>
      <w:r>
        <w:rPr>
          <w:sz w:val="28"/>
          <w:szCs w:val="28"/>
          <w:highlight w:val="white"/>
        </w:rPr>
        <w:br/>
        <w:t xml:space="preserve">от 11.08.2025 № 645-п, от 30.09.2025 № 849-п, от 14.01.2026 № 9-п, </w:t>
      </w:r>
      <w:r>
        <w:rPr>
          <w:sz w:val="28"/>
          <w:szCs w:val="28"/>
          <w:highlight w:val="white"/>
        </w:rPr>
        <w:br/>
        <w:t>с изменениями, внесенными решением Рязанского областного суда от 26.04.2021 № 3а-</w:t>
      </w:r>
      <w:r>
        <w:rPr>
          <w:sz w:val="28"/>
          <w:szCs w:val="28"/>
        </w:rPr>
        <w:t xml:space="preserve">201/2021),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5937F8" w:rsidRDefault="003C0F5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>1)  в приложении № 1 в таблице пункта 2.2 цифры «12524694» замени</w:t>
      </w:r>
      <w:r>
        <w:rPr>
          <w:color w:val="000000" w:themeColor="text1"/>
          <w:sz w:val="28"/>
          <w:szCs w:val="28"/>
        </w:rPr>
        <w:t>ть цифрами «13289967,52»;</w:t>
      </w:r>
    </w:p>
    <w:p w:rsidR="005937F8" w:rsidRDefault="003C0F5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>2) в приложении № 2 согласно приложению № 1 к настоящему постановлению;</w:t>
      </w:r>
    </w:p>
    <w:p w:rsidR="005937F8" w:rsidRDefault="003C0F5B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3 согласно приложению № 2 к настоящему постановлению;</w:t>
      </w:r>
    </w:p>
    <w:p w:rsidR="005937F8" w:rsidRDefault="003C0F5B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4) в приложении № 4 согласно приложению № 3 к настоящему постановлению.</w:t>
      </w:r>
    </w:p>
    <w:p w:rsidR="005937F8" w:rsidRDefault="003C0F5B" w:rsidP="003C0F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рафическое </w:t>
      </w:r>
      <w:r>
        <w:rPr>
          <w:color w:val="000000" w:themeColor="text1"/>
          <w:sz w:val="28"/>
          <w:szCs w:val="28"/>
        </w:rPr>
        <w:t xml:space="preserve">описание </w:t>
      </w:r>
      <w:r>
        <w:rPr>
          <w:color w:val="000000" w:themeColor="text1"/>
          <w:sz w:val="28"/>
          <w:szCs w:val="28"/>
        </w:rPr>
        <w:t xml:space="preserve">местоположения границ населенного пункта </w:t>
      </w:r>
      <w:r>
        <w:rPr>
          <w:color w:val="000000" w:themeColor="text1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с. Дубровичи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</w:t>
      </w:r>
      <w:r>
        <w:rPr>
          <w:color w:val="000000" w:themeColor="text1"/>
          <w:sz w:val="28"/>
          <w:szCs w:val="28"/>
        </w:rPr>
        <w:t xml:space="preserve"> согласно приложению № 4 к настоящему постановлению.</w:t>
      </w:r>
    </w:p>
    <w:p w:rsidR="005937F8" w:rsidRDefault="003C0F5B" w:rsidP="003C0F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937F8" w:rsidRDefault="003C0F5B" w:rsidP="003C0F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</w:t>
      </w:r>
      <w:r>
        <w:rPr>
          <w:color w:val="000000" w:themeColor="text1"/>
          <w:sz w:val="28"/>
          <w:szCs w:val="28"/>
        </w:rPr>
        <w:t>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  <w:r>
        <w:rPr>
          <w:color w:val="000000" w:themeColor="text1"/>
          <w:sz w:val="28"/>
          <w:szCs w:val="28"/>
        </w:rPr>
        <w:t xml:space="preserve"> </w:t>
      </w:r>
    </w:p>
    <w:p w:rsidR="005937F8" w:rsidRDefault="003C0F5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</w:t>
      </w:r>
      <w:r>
        <w:rPr>
          <w:color w:val="000000" w:themeColor="text1"/>
          <w:sz w:val="28"/>
          <w:szCs w:val="28"/>
        </w:rPr>
        <w:t xml:space="preserve">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5937F8" w:rsidRDefault="003C0F5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</w:t>
      </w:r>
      <w:r>
        <w:rPr>
          <w:color w:val="000000" w:themeColor="text1"/>
          <w:sz w:val="28"/>
          <w:szCs w:val="28"/>
          <w:highlight w:val="white"/>
        </w:rPr>
        <w:t xml:space="preserve">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</w:t>
      </w:r>
      <w:r>
        <w:rPr>
          <w:color w:val="auto"/>
          <w:sz w:val="28"/>
          <w:szCs w:val="28"/>
          <w:highlight w:val="white"/>
        </w:rPr>
        <w:t xml:space="preserve">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</w:r>
      <w:r>
        <w:rPr>
          <w:color w:val="auto"/>
          <w:sz w:val="28"/>
          <w:highlight w:val="white"/>
        </w:rPr>
        <w:t>от 13.07.2015 № 218-ФЗ «О государственной регистрации недвижимости</w:t>
      </w:r>
      <w:r>
        <w:rPr>
          <w:color w:val="auto"/>
          <w:sz w:val="28"/>
          <w:szCs w:val="28"/>
          <w:highlight w:val="white"/>
        </w:rPr>
        <w:t>»</w:t>
      </w:r>
      <w:r>
        <w:rPr>
          <w:sz w:val="28"/>
          <w:szCs w:val="28"/>
        </w:rPr>
        <w:t>.</w:t>
      </w:r>
    </w:p>
    <w:p w:rsidR="005937F8" w:rsidRDefault="003C0F5B" w:rsidP="003C0F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5937F8" w:rsidRDefault="003C0F5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</w:t>
      </w:r>
      <w:r>
        <w:rPr>
          <w:rFonts w:ascii="Times New Roman" w:hAnsi="Times New Roman"/>
          <w:color w:val="000000" w:themeColor="text1"/>
          <w:sz w:val="28"/>
          <w:szCs w:val="28"/>
        </w:rPr>
        <w:t>сти;</w:t>
      </w:r>
    </w:p>
    <w:p w:rsidR="005937F8" w:rsidRDefault="003C0F5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937F8" w:rsidRDefault="003C0F5B" w:rsidP="003C0F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</w:t>
      </w:r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937F8" w:rsidRDefault="003C0F5B" w:rsidP="003C0F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r>
        <w:rPr>
          <w:rFonts w:eastAsia="Times New Roman" w:cs="Times New Roman"/>
          <w:sz w:val="28"/>
          <w:szCs w:val="28"/>
          <w:lang w:eastAsia="ar-SA" w:bidi="ar-SA"/>
        </w:rPr>
        <w:t>Рязанского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</w:t>
      </w:r>
      <w:r>
        <w:rPr>
          <w:color w:val="000000" w:themeColor="text1"/>
          <w:sz w:val="28"/>
          <w:szCs w:val="28"/>
        </w:rPr>
        <w:t>тановления на официальном сайте муниципального образования в сети «Интернет», публикацию в средствах массовой информации.</w:t>
      </w:r>
    </w:p>
    <w:p w:rsidR="005937F8" w:rsidRDefault="003C0F5B" w:rsidP="003C0F5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lastRenderedPageBreak/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</w:t>
      </w:r>
      <w:r>
        <w:rPr>
          <w:color w:val="000000" w:themeColor="text1"/>
          <w:sz w:val="28"/>
          <w:szCs w:val="28"/>
        </w:rPr>
        <w:t>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5937F8" w:rsidRDefault="005937F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5937F8" w:rsidRDefault="005937F8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5937F8" w:rsidRDefault="003C0F5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5937F8" w:rsidRDefault="005937F8"/>
    <w:sectPr w:rsidR="005937F8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5B" w:rsidRDefault="003C0F5B">
      <w:r>
        <w:separator/>
      </w:r>
    </w:p>
  </w:endnote>
  <w:endnote w:type="continuationSeparator" w:id="0">
    <w:p w:rsidR="003C0F5B" w:rsidRDefault="003C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5B" w:rsidRDefault="003C0F5B">
      <w:r>
        <w:separator/>
      </w:r>
    </w:p>
  </w:footnote>
  <w:footnote w:type="continuationSeparator" w:id="0">
    <w:p w:rsidR="003C0F5B" w:rsidRDefault="003C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F8" w:rsidRDefault="003C0F5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11181" w:rsidRPr="00211181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937F8" w:rsidRDefault="005937F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057BC"/>
    <w:multiLevelType w:val="hybridMultilevel"/>
    <w:tmpl w:val="27984DE2"/>
    <w:lvl w:ilvl="0" w:tplc="3E8AA70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0DEE3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910F2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0CEAE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34C2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A66CE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1B078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39C71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021A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214E9E"/>
    <w:multiLevelType w:val="multilevel"/>
    <w:tmpl w:val="CADE5A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F8"/>
    <w:rsid w:val="00211181"/>
    <w:rsid w:val="003C0F5B"/>
    <w:rsid w:val="0059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BF5A"/>
  <w15:docId w15:val="{FAEA9C0B-869E-4CC2-A899-4CC3D7AF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206</cp:revision>
  <dcterms:created xsi:type="dcterms:W3CDTF">2026-02-18T05:40:00Z</dcterms:created>
  <dcterms:modified xsi:type="dcterms:W3CDTF">2026-02-18T05:41:00Z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