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1" w:rsidRDefault="007D0A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7D0A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5D60A2" w:rsidRDefault="007D0A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D60A2">
        <w:rPr>
          <w:sz w:val="28"/>
        </w:rPr>
        <w:t>09</w:t>
      </w:r>
      <w:r>
        <w:rPr>
          <w:sz w:val="28"/>
        </w:rPr>
        <w:t>»</w:t>
      </w:r>
      <w:r w:rsidR="005D60A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5D60A2">
        <w:rPr>
          <w:sz w:val="28"/>
        </w:rPr>
        <w:tab/>
      </w:r>
      <w:r w:rsidR="005D60A2">
        <w:rPr>
          <w:sz w:val="28"/>
        </w:rPr>
        <w:tab/>
        <w:t xml:space="preserve">     </w:t>
      </w:r>
      <w:r>
        <w:rPr>
          <w:sz w:val="28"/>
        </w:rPr>
        <w:t xml:space="preserve"> № </w:t>
      </w:r>
      <w:r w:rsidR="005D60A2">
        <w:rPr>
          <w:sz w:val="28"/>
        </w:rPr>
        <w:t>97-п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8611F0" w:rsidRPr="008611F0" w:rsidRDefault="007D0A80" w:rsidP="008611F0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bookmarkStart w:id="0" w:name="_GoBack"/>
      <w:r w:rsidRPr="008611F0">
        <w:rPr>
          <w:color w:val="auto"/>
          <w:sz w:val="28"/>
          <w:szCs w:val="28"/>
        </w:rPr>
        <w:t>О внесении изменений в генеральный план муниципального образования –</w:t>
      </w:r>
      <w:r w:rsidR="008611F0" w:rsidRPr="008611F0">
        <w:rPr>
          <w:rFonts w:cs="Times New Roman"/>
          <w:sz w:val="28"/>
          <w:szCs w:val="28"/>
          <w:lang w:bidi="ar-SA"/>
        </w:rPr>
        <w:t>Михайловский муниципальный округ Рязанской области применительно</w:t>
      </w:r>
    </w:p>
    <w:p w:rsidR="008611F0" w:rsidRPr="008611F0" w:rsidRDefault="008611F0" w:rsidP="008611F0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8611F0">
        <w:rPr>
          <w:rFonts w:cs="Times New Roman"/>
          <w:sz w:val="28"/>
          <w:szCs w:val="28"/>
          <w:lang w:bidi="ar-SA"/>
        </w:rPr>
        <w:t>к территориям Поярковского, Рачатниковского и Красновского сельских округов Михайловского района Рязанской области</w:t>
      </w:r>
    </w:p>
    <w:bookmarkEnd w:id="0"/>
    <w:p w:rsidR="00496C7E" w:rsidRDefault="00496C7E" w:rsidP="008611F0">
      <w:pPr>
        <w:pStyle w:val="ConsPlusNormal1"/>
        <w:widowControl w:val="0"/>
        <w:jc w:val="center"/>
        <w:rPr>
          <w:color w:val="auto"/>
          <w:sz w:val="28"/>
        </w:rPr>
      </w:pPr>
    </w:p>
    <w:p w:rsidR="003D5511" w:rsidRDefault="007D0A80" w:rsidP="008322D0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</w:t>
      </w:r>
      <w:r w:rsidR="00496C7E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 w:rsidRPr="00A52D65">
        <w:rPr>
          <w:color w:val="auto"/>
          <w:sz w:val="28"/>
          <w:szCs w:val="28"/>
        </w:rPr>
        <w:t xml:space="preserve">области», </w:t>
      </w:r>
      <w:r w:rsidR="008322D0" w:rsidRPr="00A52D65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8322D0" w:rsidRPr="00A52D65">
        <w:rPr>
          <w:rFonts w:cs="Times New Roman"/>
          <w:sz w:val="28"/>
          <w:szCs w:val="28"/>
        </w:rPr>
        <w:t xml:space="preserve"> </w:t>
      </w:r>
      <w:r w:rsidR="001C5851" w:rsidRPr="00A52D65">
        <w:rPr>
          <w:rFonts w:cs="Times New Roman"/>
          <w:sz w:val="28"/>
          <w:szCs w:val="28"/>
        </w:rPr>
        <w:t xml:space="preserve">от 29.12.2025 № 421 </w:t>
      </w:r>
      <w:r w:rsidR="001C5851" w:rsidRPr="00A52D65">
        <w:rPr>
          <w:rFonts w:cs="Times New Roman"/>
          <w:color w:val="auto"/>
          <w:sz w:val="28"/>
          <w:szCs w:val="28"/>
        </w:rPr>
        <w:t>«</w:t>
      </w:r>
      <w:r w:rsidR="001C5851" w:rsidRPr="00A52D65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1C5851" w:rsidRPr="00A52D65">
        <w:rPr>
          <w:rFonts w:cs="Times New Roman"/>
          <w:sz w:val="28"/>
          <w:szCs w:val="28"/>
        </w:rPr>
        <w:t>,</w:t>
      </w:r>
      <w:r w:rsidRPr="00A52D65">
        <w:rPr>
          <w:color w:val="auto"/>
          <w:sz w:val="28"/>
          <w:szCs w:val="28"/>
        </w:rPr>
        <w:t xml:space="preserve"> от 06.08.2008 № 153 «Об утверждении Положения о</w:t>
      </w:r>
      <w:r w:rsidR="009A64F9" w:rsidRPr="00A52D65">
        <w:rPr>
          <w:color w:val="auto"/>
          <w:sz w:val="28"/>
          <w:szCs w:val="28"/>
        </w:rPr>
        <w:t> </w:t>
      </w:r>
      <w:r w:rsidRPr="00A52D65">
        <w:rPr>
          <w:color w:val="auto"/>
          <w:sz w:val="28"/>
          <w:szCs w:val="28"/>
        </w:rPr>
        <w:t>главном управлении архитектуры и градостроительства Рязанской области»</w:t>
      </w:r>
      <w:r w:rsidRPr="00A52D65">
        <w:rPr>
          <w:color w:val="auto"/>
          <w:sz w:val="28"/>
        </w:rPr>
        <w:t>,</w:t>
      </w:r>
      <w:r w:rsidRPr="00A52D65">
        <w:rPr>
          <w:color w:val="auto"/>
          <w:sz w:val="28"/>
          <w:szCs w:val="28"/>
        </w:rPr>
        <w:t xml:space="preserve"> </w:t>
      </w:r>
      <w:r w:rsidR="00A52D65" w:rsidRPr="00A52D65">
        <w:rPr>
          <w:rFonts w:cs="Times New Roman"/>
          <w:sz w:val="28"/>
          <w:szCs w:val="28"/>
          <w:lang w:bidi="ar-SA"/>
        </w:rPr>
        <w:t>письмами</w:t>
      </w:r>
      <w:r w:rsidR="008322D0" w:rsidRPr="00A52D65">
        <w:rPr>
          <w:rFonts w:cs="Times New Roman"/>
          <w:sz w:val="28"/>
          <w:szCs w:val="28"/>
          <w:lang w:bidi="ar-SA"/>
        </w:rPr>
        <w:t xml:space="preserve"> министерства экономического развития Рязанской области </w:t>
      </w:r>
      <w:r w:rsidR="00A52D65" w:rsidRPr="00A52D65">
        <w:rPr>
          <w:rFonts w:cs="Times New Roman"/>
          <w:sz w:val="28"/>
          <w:szCs w:val="28"/>
          <w:lang w:bidi="ar-SA"/>
        </w:rPr>
        <w:t>от 04</w:t>
      </w:r>
      <w:r w:rsidR="008322D0" w:rsidRPr="00A52D65">
        <w:rPr>
          <w:rFonts w:cs="Times New Roman"/>
          <w:sz w:val="28"/>
          <w:szCs w:val="28"/>
          <w:lang w:bidi="ar-SA"/>
        </w:rPr>
        <w:t>.02.202</w:t>
      </w:r>
      <w:r w:rsidR="00A52D65" w:rsidRPr="00A52D65">
        <w:rPr>
          <w:rFonts w:cs="Times New Roman"/>
          <w:sz w:val="28"/>
          <w:szCs w:val="28"/>
          <w:lang w:bidi="ar-SA"/>
        </w:rPr>
        <w:t>6</w:t>
      </w:r>
      <w:r w:rsidR="008322D0" w:rsidRPr="00A52D65">
        <w:rPr>
          <w:rFonts w:cs="Times New Roman"/>
          <w:sz w:val="28"/>
          <w:szCs w:val="28"/>
          <w:lang w:bidi="ar-SA"/>
        </w:rPr>
        <w:t xml:space="preserve"> </w:t>
      </w:r>
      <w:r w:rsidR="00A52D65" w:rsidRPr="00A52D65">
        <w:rPr>
          <w:rFonts w:cs="Times New Roman"/>
          <w:sz w:val="28"/>
          <w:szCs w:val="28"/>
          <w:lang w:bidi="ar-SA"/>
        </w:rPr>
        <w:t>№ АВ/2-741</w:t>
      </w:r>
      <w:r w:rsidR="008322D0" w:rsidRPr="00A52D65">
        <w:rPr>
          <w:rFonts w:cs="Times New Roman"/>
          <w:sz w:val="28"/>
          <w:szCs w:val="28"/>
          <w:lang w:bidi="ar-SA"/>
        </w:rPr>
        <w:t xml:space="preserve">, </w:t>
      </w:r>
      <w:r w:rsidR="00A52D65" w:rsidRPr="00A52D65">
        <w:rPr>
          <w:rFonts w:cs="Times New Roman"/>
          <w:sz w:val="28"/>
          <w:szCs w:val="28"/>
          <w:lang w:bidi="ar-SA"/>
        </w:rPr>
        <w:t xml:space="preserve">№ АВ/2-749, </w:t>
      </w:r>
      <w:r w:rsidR="008A0CBC" w:rsidRPr="00F3583C">
        <w:rPr>
          <w:rFonts w:cs="Times New Roman"/>
          <w:sz w:val="28"/>
          <w:szCs w:val="28"/>
          <w:lang w:bidi="ar-SA"/>
        </w:rPr>
        <w:t xml:space="preserve">приказом главного управления архитектуры и градостроительства Рязанской области от 09.02.2026 № 5-лс </w:t>
      </w:r>
      <w:r w:rsidR="008A0CBC">
        <w:rPr>
          <w:rFonts w:cs="Times New Roman"/>
          <w:sz w:val="28"/>
          <w:szCs w:val="28"/>
          <w:lang w:bidi="ar-SA"/>
        </w:rPr>
        <w:br/>
      </w:r>
      <w:r w:rsidR="008A0CBC" w:rsidRPr="00F3583C">
        <w:rPr>
          <w:rFonts w:cs="Times New Roman"/>
          <w:sz w:val="28"/>
          <w:szCs w:val="28"/>
          <w:lang w:bidi="ar-SA"/>
        </w:rPr>
        <w:t>«О возложении исполнения обязанностей»,</w:t>
      </w:r>
      <w:r w:rsidR="008A0CBC">
        <w:rPr>
          <w:rFonts w:cs="Times New Roman"/>
          <w:sz w:val="28"/>
          <w:szCs w:val="28"/>
          <w:lang w:bidi="ar-SA"/>
        </w:rPr>
        <w:t xml:space="preserve"> </w:t>
      </w:r>
      <w:r w:rsidRPr="00A52D65">
        <w:rPr>
          <w:color w:val="auto"/>
          <w:sz w:val="28"/>
          <w:szCs w:val="28"/>
        </w:rPr>
        <w:t>главное управление архитектуры и</w:t>
      </w:r>
      <w:r w:rsidR="00A52D65" w:rsidRPr="00A52D65">
        <w:rPr>
          <w:color w:val="auto"/>
          <w:sz w:val="28"/>
          <w:szCs w:val="28"/>
        </w:rPr>
        <w:t> </w:t>
      </w:r>
      <w:r w:rsidRPr="00A52D65">
        <w:rPr>
          <w:color w:val="auto"/>
          <w:sz w:val="28"/>
          <w:szCs w:val="28"/>
        </w:rPr>
        <w:t>градостроительства Рязанской области ПОСТАНОВЛЯЕТ: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F93EE9"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 w:rsidR="00060160" w:rsidRPr="00F93EE9">
        <w:rPr>
          <w:sz w:val="28"/>
          <w:szCs w:val="28"/>
        </w:rPr>
        <w:t>Михайловский муниципальный округ Рязанской области применительно</w:t>
      </w:r>
      <w:r w:rsidR="00060160">
        <w:rPr>
          <w:sz w:val="28"/>
          <w:szCs w:val="28"/>
        </w:rPr>
        <w:t xml:space="preserve"> к </w:t>
      </w:r>
      <w:r w:rsidR="00060160" w:rsidRPr="008611F0">
        <w:rPr>
          <w:rFonts w:cs="Times New Roman"/>
          <w:sz w:val="28"/>
          <w:szCs w:val="28"/>
          <w:lang w:bidi="ar-SA"/>
        </w:rPr>
        <w:t>территориям Поярковского, Рачатниковского и Красновского сельских округов Михайловского района Рязанской области</w:t>
      </w:r>
      <w:r w:rsidRPr="00F93EE9">
        <w:rPr>
          <w:color w:val="auto"/>
          <w:sz w:val="28"/>
          <w:szCs w:val="28"/>
        </w:rPr>
        <w:t>, утвержденный постановлением главного управления архитектуры и</w:t>
      </w:r>
      <w:r w:rsidR="00543A8B">
        <w:rPr>
          <w:color w:val="auto"/>
          <w:sz w:val="28"/>
          <w:szCs w:val="28"/>
        </w:rPr>
        <w:t> </w:t>
      </w:r>
      <w:r w:rsidRPr="00F93EE9">
        <w:rPr>
          <w:color w:val="auto"/>
          <w:sz w:val="28"/>
          <w:szCs w:val="28"/>
        </w:rPr>
        <w:t xml:space="preserve">градостроительства Рязанской области от </w:t>
      </w:r>
      <w:r w:rsidR="00F93EE9" w:rsidRPr="00F93EE9">
        <w:rPr>
          <w:color w:val="auto"/>
          <w:sz w:val="28"/>
          <w:szCs w:val="28"/>
        </w:rPr>
        <w:t>11.08</w:t>
      </w:r>
      <w:r w:rsidRPr="00F93EE9">
        <w:rPr>
          <w:color w:val="auto"/>
          <w:sz w:val="28"/>
          <w:szCs w:val="28"/>
        </w:rPr>
        <w:t>.202</w:t>
      </w:r>
      <w:r w:rsidR="00F93EE9" w:rsidRPr="00F93EE9">
        <w:rPr>
          <w:color w:val="auto"/>
          <w:sz w:val="28"/>
          <w:szCs w:val="28"/>
        </w:rPr>
        <w:t>5</w:t>
      </w:r>
      <w:r w:rsidRPr="00F93EE9">
        <w:rPr>
          <w:color w:val="auto"/>
          <w:sz w:val="28"/>
          <w:szCs w:val="28"/>
        </w:rPr>
        <w:t xml:space="preserve"> № 6</w:t>
      </w:r>
      <w:r w:rsidR="008611F0">
        <w:rPr>
          <w:color w:val="auto"/>
          <w:sz w:val="28"/>
          <w:szCs w:val="28"/>
        </w:rPr>
        <w:t>56</w:t>
      </w:r>
      <w:r w:rsidRPr="00F93EE9">
        <w:rPr>
          <w:color w:val="auto"/>
          <w:sz w:val="28"/>
          <w:szCs w:val="28"/>
        </w:rPr>
        <w:t>-п «</w:t>
      </w:r>
      <w:r w:rsidR="00F93EE9" w:rsidRPr="00F93EE9">
        <w:rPr>
          <w:sz w:val="28"/>
          <w:szCs w:val="28"/>
        </w:rPr>
        <w:t>Об утверждении генерального плана муниципального образования – Михайловский муниципальный округ Рязанской области применительно</w:t>
      </w:r>
      <w:r w:rsidR="008611F0">
        <w:rPr>
          <w:sz w:val="28"/>
          <w:szCs w:val="28"/>
        </w:rPr>
        <w:t xml:space="preserve"> к</w:t>
      </w:r>
      <w:r w:rsidR="00F93EE9" w:rsidRPr="00F93EE9">
        <w:rPr>
          <w:sz w:val="28"/>
          <w:szCs w:val="28"/>
        </w:rPr>
        <w:t xml:space="preserve"> </w:t>
      </w:r>
      <w:r w:rsidR="008611F0" w:rsidRPr="008611F0">
        <w:rPr>
          <w:rFonts w:cs="Times New Roman"/>
          <w:sz w:val="28"/>
          <w:szCs w:val="28"/>
          <w:lang w:bidi="ar-SA"/>
        </w:rPr>
        <w:t xml:space="preserve">территориям Поярковского, Рачатниковского и Красновского </w:t>
      </w:r>
      <w:r w:rsidR="008611F0" w:rsidRPr="008611F0">
        <w:rPr>
          <w:rFonts w:cs="Times New Roman"/>
          <w:sz w:val="28"/>
          <w:szCs w:val="28"/>
          <w:lang w:bidi="ar-SA"/>
        </w:rPr>
        <w:lastRenderedPageBreak/>
        <w:t>сельских округов Михайловского района Рязанской области</w:t>
      </w:r>
      <w:r w:rsidRPr="00F93EE9">
        <w:rPr>
          <w:color w:val="auto"/>
          <w:sz w:val="28"/>
          <w:szCs w:val="28"/>
        </w:rPr>
        <w:t>»</w:t>
      </w:r>
      <w:r w:rsidR="00F93EE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следующие изменения:</w:t>
      </w:r>
    </w:p>
    <w:p w:rsidR="00BD1198" w:rsidRDefault="00CF05B6" w:rsidP="00CF05B6">
      <w:pPr>
        <w:pStyle w:val="aa"/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</w:t>
      </w:r>
      <w:r w:rsidR="00805635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2 положения</w:t>
      </w:r>
      <w:r w:rsidR="00BD1198">
        <w:rPr>
          <w:color w:val="auto"/>
          <w:sz w:val="28"/>
          <w:szCs w:val="28"/>
        </w:rPr>
        <w:t xml:space="preserve"> о территориальном планировании:</w:t>
      </w:r>
    </w:p>
    <w:p w:rsidR="003D5511" w:rsidRDefault="00543A8B" w:rsidP="00CF05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0A80" w:rsidRPr="00BD1198">
        <w:rPr>
          <w:color w:val="auto"/>
          <w:sz w:val="28"/>
          <w:szCs w:val="28"/>
        </w:rPr>
        <w:t>таблиц</w:t>
      </w:r>
      <w:r w:rsidR="00BD1198" w:rsidRPr="00BD1198">
        <w:rPr>
          <w:color w:val="auto"/>
          <w:sz w:val="28"/>
          <w:szCs w:val="28"/>
        </w:rPr>
        <w:t>у</w:t>
      </w:r>
      <w:r w:rsidR="007D0A80" w:rsidRPr="00BD1198">
        <w:rPr>
          <w:color w:val="auto"/>
          <w:sz w:val="28"/>
          <w:szCs w:val="28"/>
        </w:rPr>
        <w:t xml:space="preserve"> </w:t>
      </w:r>
      <w:r w:rsidR="00BD1198" w:rsidRPr="00BD1198">
        <w:rPr>
          <w:color w:val="auto"/>
          <w:sz w:val="28"/>
          <w:szCs w:val="28"/>
        </w:rPr>
        <w:t>2.1 дополнить строкой</w:t>
      </w:r>
      <w:r w:rsidR="00A14425">
        <w:rPr>
          <w:color w:val="auto"/>
          <w:sz w:val="28"/>
          <w:szCs w:val="28"/>
        </w:rPr>
        <w:t xml:space="preserve"> следующего содержания</w:t>
      </w:r>
      <w:r w:rsidR="00BD1198" w:rsidRPr="00BD1198">
        <w:rPr>
          <w:color w:val="auto"/>
          <w:sz w:val="28"/>
          <w:szCs w:val="28"/>
        </w:rPr>
        <w:t>: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636"/>
        <w:gridCol w:w="1449"/>
        <w:gridCol w:w="2826"/>
        <w:gridCol w:w="4444"/>
        <w:gridCol w:w="336"/>
      </w:tblGrid>
      <w:tr w:rsidR="00BD1198" w:rsidRPr="00BD1198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198" w:rsidRPr="00BD1198" w:rsidRDefault="00543A8B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BD1198" w:rsidRPr="00BD1198" w:rsidRDefault="00A14425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="008611F0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449" w:type="dxa"/>
            <w:vAlign w:val="center"/>
          </w:tcPr>
          <w:p w:rsidR="00BD1198" w:rsidRPr="00BD1198" w:rsidRDefault="000E4A2E" w:rsidP="000E4A2E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noProof/>
                <w:position w:val="-23"/>
                <w:lang w:eastAsia="ru-RU" w:bidi="ar-SA"/>
              </w:rPr>
              <w:drawing>
                <wp:inline distT="0" distB="0" distL="0" distR="0" wp14:anchorId="1D5A93A5" wp14:editId="36DED3D2">
                  <wp:extent cx="670560" cy="335280"/>
                  <wp:effectExtent l="0" t="0" r="0" b="0"/>
                  <wp:docPr id="15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животных, производства, хранения и переработки сельскохозяйственной продукции, питомников, для которых необходима организация санитарно</w:t>
            </w:r>
            <w:r w:rsidR="00CF05B6">
              <w:rPr>
                <w:sz w:val="24"/>
                <w:szCs w:val="24"/>
              </w:rPr>
              <w:t>-</w:t>
            </w:r>
            <w:r w:rsidRPr="00BD1198">
              <w:rPr>
                <w:sz w:val="24"/>
                <w:szCs w:val="24"/>
              </w:rPr>
              <w:t>защитной зоны в соответствии с требованиями технических регламентов</w:t>
            </w:r>
            <w:r w:rsidR="00A14425">
              <w:rPr>
                <w:sz w:val="24"/>
                <w:szCs w:val="24"/>
              </w:rPr>
              <w:t>»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A14425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442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14425">
        <w:rPr>
          <w:rFonts w:ascii="Times New Roman" w:hAnsi="Times New Roman" w:cs="Times New Roman"/>
          <w:color w:val="auto"/>
          <w:sz w:val="28"/>
          <w:szCs w:val="28"/>
        </w:rPr>
        <w:t>в таблице</w:t>
      </w:r>
      <w:r w:rsidR="00BD1198" w:rsidRPr="00A14425">
        <w:rPr>
          <w:rFonts w:ascii="Times New Roman" w:hAnsi="Times New Roman" w:cs="Times New Roman"/>
          <w:color w:val="auto"/>
          <w:sz w:val="28"/>
          <w:szCs w:val="28"/>
        </w:rPr>
        <w:t xml:space="preserve"> 2.2</w:t>
      </w:r>
      <w:r w:rsidR="00A1442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D1198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14425">
        <w:rPr>
          <w:rFonts w:ascii="Times New Roman" w:hAnsi="Times New Roman" w:cs="Times New Roman"/>
          <w:color w:val="auto"/>
          <w:sz w:val="28"/>
          <w:szCs w:val="28"/>
        </w:rPr>
        <w:t>дополнить строкой</w:t>
      </w:r>
      <w:r w:rsidR="00A14425" w:rsidRPr="00A14425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</w:t>
      </w:r>
      <w:r w:rsidRPr="00A1442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Style w:val="af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3969"/>
        <w:gridCol w:w="1170"/>
        <w:gridCol w:w="1170"/>
        <w:gridCol w:w="1170"/>
        <w:gridCol w:w="1170"/>
        <w:gridCol w:w="423"/>
      </w:tblGrid>
      <w:tr w:rsidR="00543A8B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3A8B" w:rsidRPr="00543A8B" w:rsidRDefault="00A14425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="008611F0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43A8B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170" w:type="dxa"/>
          </w:tcPr>
          <w:p w:rsidR="00543A8B" w:rsidRPr="00543A8B" w:rsidRDefault="000F4CB7" w:rsidP="000F4CB7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77,03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  <w:r w:rsidR="00A1442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3D5511" w:rsidRPr="00543A8B" w:rsidRDefault="007D0A80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0F4CB7">
        <w:rPr>
          <w:color w:val="auto"/>
          <w:sz w:val="28"/>
          <w:szCs w:val="28"/>
        </w:rPr>
        <w:t>цифры «</w:t>
      </w:r>
      <w:r w:rsidR="000F4CB7" w:rsidRPr="000F4CB7">
        <w:rPr>
          <w:rFonts w:cs="Times New Roman"/>
          <w:sz w:val="28"/>
          <w:szCs w:val="28"/>
          <w:lang w:bidi="ar-SA"/>
        </w:rPr>
        <w:t>16887,48</w:t>
      </w:r>
      <w:r w:rsidRPr="000F4CB7">
        <w:rPr>
          <w:color w:val="auto"/>
          <w:sz w:val="28"/>
          <w:szCs w:val="28"/>
        </w:rPr>
        <w:t>» заменить</w:t>
      </w:r>
      <w:r w:rsidRPr="00543A8B">
        <w:rPr>
          <w:color w:val="auto"/>
          <w:sz w:val="28"/>
          <w:szCs w:val="28"/>
        </w:rPr>
        <w:t xml:space="preserve"> цифрами «</w:t>
      </w:r>
      <w:r w:rsidR="000F4CB7">
        <w:rPr>
          <w:color w:val="auto"/>
          <w:sz w:val="28"/>
          <w:szCs w:val="28"/>
        </w:rPr>
        <w:t>16810,45</w:t>
      </w:r>
      <w:r w:rsidRPr="00543A8B">
        <w:rPr>
          <w:color w:val="auto"/>
          <w:sz w:val="28"/>
          <w:szCs w:val="28"/>
        </w:rPr>
        <w:t>»;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F93EE9">
        <w:rPr>
          <w:color w:val="auto"/>
          <w:sz w:val="28"/>
          <w:szCs w:val="28"/>
        </w:rPr>
        <w:t xml:space="preserve"> в приложении № 1</w:t>
      </w:r>
      <w:r w:rsidR="007D0A80">
        <w:rPr>
          <w:color w:val="auto"/>
          <w:sz w:val="28"/>
          <w:szCs w:val="28"/>
        </w:rPr>
        <w:t xml:space="preserve"> согласно приложению № 1 к настоящему постановлению;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7D0A80">
        <w:rPr>
          <w:color w:val="auto"/>
          <w:sz w:val="28"/>
          <w:szCs w:val="28"/>
        </w:rPr>
        <w:t xml:space="preserve"> в приложении № </w:t>
      </w:r>
      <w:r w:rsidR="00F93EE9">
        <w:rPr>
          <w:color w:val="auto"/>
          <w:sz w:val="28"/>
          <w:szCs w:val="28"/>
        </w:rPr>
        <w:t>3</w:t>
      </w:r>
      <w:r w:rsidR="007D0A80">
        <w:rPr>
          <w:color w:val="auto"/>
          <w:sz w:val="28"/>
          <w:szCs w:val="28"/>
        </w:rPr>
        <w:t xml:space="preserve"> согласно приложению № 2 к настоящему постановлению.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 w:rsidR="00543A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 к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изменениям в генеральный план муниципального образования – </w:t>
      </w:r>
      <w:r w:rsidR="00060160" w:rsidRPr="00F93EE9">
        <w:rPr>
          <w:sz w:val="28"/>
          <w:szCs w:val="28"/>
        </w:rPr>
        <w:t>Михайловский муниципальный округ Рязанской области применительно</w:t>
      </w:r>
      <w:r w:rsidR="00060160">
        <w:rPr>
          <w:sz w:val="28"/>
          <w:szCs w:val="28"/>
        </w:rPr>
        <w:t xml:space="preserve"> к</w:t>
      </w:r>
      <w:r w:rsidR="00060160" w:rsidRPr="00F93EE9">
        <w:rPr>
          <w:sz w:val="28"/>
          <w:szCs w:val="28"/>
        </w:rPr>
        <w:t xml:space="preserve"> </w:t>
      </w:r>
      <w:r w:rsidR="00060160" w:rsidRPr="008611F0">
        <w:rPr>
          <w:rFonts w:cs="Times New Roman"/>
          <w:sz w:val="28"/>
          <w:szCs w:val="28"/>
          <w:lang w:bidi="ar-SA"/>
        </w:rPr>
        <w:t>территориям Поярковского, Рачатниковского и Красновского сельских округов Михайловского района Рязанской области</w:t>
      </w:r>
      <w:r w:rsidR="0006016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</w:t>
      </w:r>
      <w:r w:rsidR="00060160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соответствии с требованиями Градостроительного кодекса Российской Федерации.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511" w:rsidRPr="00A14425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</w:t>
      </w:r>
      <w:r>
        <w:rPr>
          <w:color w:val="000000" w:themeColor="text1"/>
          <w:sz w:val="28"/>
          <w:szCs w:val="28"/>
        </w:rPr>
        <w:lastRenderedPageBreak/>
        <w:t>«Интернет».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 w:rsidR="00F93EE9">
        <w:rPr>
          <w:color w:val="000000" w:themeColor="text1"/>
          <w:sz w:val="28"/>
          <w:szCs w:val="28"/>
        </w:rPr>
        <w:t>Михайловского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000000" w:themeColor="text1"/>
          <w:sz w:val="28"/>
          <w:highlight w:val="white"/>
        </w:rPr>
        <w:t>на</w:t>
      </w:r>
      <w:r w:rsidR="000F4CB7">
        <w:rPr>
          <w:color w:val="000000" w:themeColor="text1"/>
          <w:sz w:val="28"/>
        </w:rPr>
        <w:t> 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 w:rsidR="000F4CB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="000F4CB7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D5511" w:rsidRDefault="003D55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D5511" w:rsidRDefault="003D55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D5511" w:rsidRDefault="008A0CB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Т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Попкова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 w:rsidP="00543A8B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3D5511" w:rsidSect="00902A80">
      <w:headerReference w:type="default" r:id="rId10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2C" w:rsidRDefault="00242E2C">
      <w:r>
        <w:separator/>
      </w:r>
    </w:p>
  </w:endnote>
  <w:endnote w:type="continuationSeparator" w:id="0">
    <w:p w:rsidR="00242E2C" w:rsidRDefault="0024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2C" w:rsidRDefault="00242E2C">
      <w:r>
        <w:separator/>
      </w:r>
    </w:p>
  </w:footnote>
  <w:footnote w:type="continuationSeparator" w:id="0">
    <w:p w:rsidR="00242E2C" w:rsidRDefault="0024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8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2A80" w:rsidRPr="00902A80" w:rsidRDefault="00902A80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A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A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A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60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2A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60160"/>
    <w:rsid w:val="000E4A2E"/>
    <w:rsid w:val="000F4CB7"/>
    <w:rsid w:val="001C5851"/>
    <w:rsid w:val="00242E2C"/>
    <w:rsid w:val="002B6F32"/>
    <w:rsid w:val="002F45F4"/>
    <w:rsid w:val="003D5511"/>
    <w:rsid w:val="00435175"/>
    <w:rsid w:val="004769C0"/>
    <w:rsid w:val="00496C7E"/>
    <w:rsid w:val="005223C4"/>
    <w:rsid w:val="00543A8B"/>
    <w:rsid w:val="00544188"/>
    <w:rsid w:val="005D60A2"/>
    <w:rsid w:val="00630D7B"/>
    <w:rsid w:val="007D0A80"/>
    <w:rsid w:val="00805635"/>
    <w:rsid w:val="008322D0"/>
    <w:rsid w:val="00846595"/>
    <w:rsid w:val="008611F0"/>
    <w:rsid w:val="008A0CBC"/>
    <w:rsid w:val="00902A80"/>
    <w:rsid w:val="009A64F9"/>
    <w:rsid w:val="00A14425"/>
    <w:rsid w:val="00A52D65"/>
    <w:rsid w:val="00BD1198"/>
    <w:rsid w:val="00C03AFD"/>
    <w:rsid w:val="00CF05B6"/>
    <w:rsid w:val="00D715B2"/>
    <w:rsid w:val="00F93EE9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84EF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02A8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9F324F7-0924-4CB4-A763-F9332D07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234</cp:revision>
  <cp:lastPrinted>2026-02-09T09:11:00Z</cp:lastPrinted>
  <dcterms:created xsi:type="dcterms:W3CDTF">2026-01-22T13:22:00Z</dcterms:created>
  <dcterms:modified xsi:type="dcterms:W3CDTF">2026-02-09T10:47:00Z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