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D0" w:rsidRDefault="00B81A3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0D0" w:rsidRDefault="00B81A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660D0" w:rsidRDefault="00B81A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660D0" w:rsidRDefault="004660D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660D0" w:rsidRDefault="004660D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660D0" w:rsidRDefault="00B81A3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660D0" w:rsidRDefault="004660D0">
      <w:pPr>
        <w:tabs>
          <w:tab w:val="left" w:pos="709"/>
        </w:tabs>
        <w:jc w:val="center"/>
        <w:rPr>
          <w:sz w:val="28"/>
        </w:rPr>
      </w:pPr>
    </w:p>
    <w:p w:rsidR="004660D0" w:rsidRDefault="004660D0">
      <w:pPr>
        <w:tabs>
          <w:tab w:val="left" w:pos="709"/>
        </w:tabs>
        <w:jc w:val="center"/>
        <w:rPr>
          <w:sz w:val="28"/>
        </w:rPr>
      </w:pPr>
    </w:p>
    <w:p w:rsidR="004660D0" w:rsidRDefault="00B81A3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80B72">
        <w:rPr>
          <w:sz w:val="28"/>
        </w:rPr>
        <w:t>11</w:t>
      </w:r>
      <w:r>
        <w:rPr>
          <w:sz w:val="28"/>
        </w:rPr>
        <w:t>»</w:t>
      </w:r>
      <w:r w:rsidR="00E80B7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E80B72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E80B72">
        <w:rPr>
          <w:sz w:val="28"/>
        </w:rPr>
        <w:t>108-п</w:t>
      </w:r>
    </w:p>
    <w:p w:rsidR="004660D0" w:rsidRDefault="004660D0">
      <w:pPr>
        <w:tabs>
          <w:tab w:val="left" w:pos="709"/>
        </w:tabs>
        <w:jc w:val="both"/>
        <w:rPr>
          <w:sz w:val="28"/>
        </w:rPr>
      </w:pPr>
    </w:p>
    <w:p w:rsidR="004660D0" w:rsidRDefault="004660D0">
      <w:pPr>
        <w:tabs>
          <w:tab w:val="left" w:pos="709"/>
        </w:tabs>
        <w:jc w:val="both"/>
        <w:rPr>
          <w:sz w:val="28"/>
        </w:rPr>
      </w:pPr>
    </w:p>
    <w:p w:rsidR="004660D0" w:rsidRDefault="00B81A3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Мурминское сельское поселение Рязанского муниципального района</w:t>
      </w:r>
    </w:p>
    <w:p w:rsidR="004660D0" w:rsidRDefault="00B81A3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4660D0" w:rsidRDefault="004660D0">
      <w:pPr>
        <w:tabs>
          <w:tab w:val="left" w:pos="709"/>
        </w:tabs>
        <w:jc w:val="center"/>
        <w:rPr>
          <w:color w:val="auto"/>
          <w:sz w:val="28"/>
        </w:rPr>
      </w:pPr>
    </w:p>
    <w:p w:rsidR="004660D0" w:rsidRDefault="00B81A3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статьи 23,</w:t>
      </w:r>
      <w:r>
        <w:rPr>
          <w:color w:val="auto"/>
          <w:sz w:val="28"/>
          <w:szCs w:val="28"/>
        </w:rPr>
        <w:t xml:space="preserve"> части 18 статьи 24, статьи 25 Град</w:t>
      </w:r>
      <w:r>
        <w:rPr>
          <w:color w:val="auto"/>
          <w:sz w:val="28"/>
          <w:szCs w:val="28"/>
        </w:rPr>
        <w:t xml:space="preserve">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>ст</w:t>
      </w:r>
      <w:r>
        <w:rPr>
          <w:color w:val="auto"/>
          <w:spacing w:val="-6"/>
          <w:sz w:val="28"/>
          <w:szCs w:val="28"/>
        </w:rPr>
        <w:t xml:space="preserve">атьи </w:t>
      </w:r>
      <w:r>
        <w:rPr>
          <w:color w:val="auto"/>
          <w:sz w:val="28"/>
          <w:szCs w:val="28"/>
        </w:rPr>
        <w:t>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 xml:space="preserve">язанской области», руководствуясь </w:t>
      </w:r>
      <w:r>
        <w:rPr>
          <w:color w:val="auto"/>
          <w:sz w:val="28"/>
          <w:szCs w:val="28"/>
        </w:rPr>
        <w:t xml:space="preserve">постановлением Правительства Рязанской области </w:t>
      </w:r>
      <w:r>
        <w:rPr>
          <w:color w:val="auto"/>
          <w:sz w:val="28"/>
          <w:szCs w:val="28"/>
        </w:rPr>
        <w:t xml:space="preserve">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>адостроите</w:t>
      </w:r>
      <w:r>
        <w:rPr>
          <w:sz w:val="28"/>
        </w:rPr>
        <w:t xml:space="preserve">льства Рязанской области </w:t>
      </w:r>
      <w:r>
        <w:rPr>
          <w:sz w:val="28"/>
        </w:rPr>
        <w:br/>
        <w:t>от 09.02.2026 № 5-лс «О возложении исполнения обязанностей»,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4660D0" w:rsidRDefault="00B81A3A" w:rsidP="00B81A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Мурминское сельское поселение </w:t>
      </w:r>
      <w:r>
        <w:rPr>
          <w:color w:val="auto"/>
          <w:sz w:val="28"/>
          <w:szCs w:val="28"/>
        </w:rPr>
        <w:t xml:space="preserve">Рязанского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sz w:val="28"/>
        </w:rPr>
        <w:t>от 04.07.2023 № 268-п</w:t>
      </w:r>
      <w:r>
        <w:rPr>
          <w:sz w:val="28"/>
          <w:szCs w:val="27"/>
        </w:rPr>
        <w:t xml:space="preserve"> «</w:t>
      </w:r>
      <w:r>
        <w:rPr>
          <w:color w:val="auto"/>
          <w:sz w:val="28"/>
          <w:szCs w:val="28"/>
        </w:rPr>
        <w:t>Об утверждении генерального плана муниципального образования</w:t>
      </w:r>
      <w:r>
        <w:rPr>
          <w:sz w:val="28"/>
          <w:szCs w:val="27"/>
        </w:rPr>
        <w:t xml:space="preserve"> – </w:t>
      </w:r>
      <w:r>
        <w:rPr>
          <w:sz w:val="28"/>
        </w:rPr>
        <w:t>Мурминское сельское поселение Рязанского</w:t>
      </w:r>
      <w:r>
        <w:rPr>
          <w:sz w:val="28"/>
          <w:szCs w:val="27"/>
        </w:rPr>
        <w:t xml:space="preserve"> муниципального района Рязанской области»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(в редакции постановлений Главархитектуры Рязанской области от 18.12.2023 № 602-п, </w:t>
      </w:r>
      <w:r>
        <w:rPr>
          <w:sz w:val="28"/>
        </w:rPr>
        <w:br/>
        <w:t>от 13.03.2024 № 91-п, от 19.08.2024 № 426-п, от 03.12.2024 № 696-п)</w:t>
      </w:r>
      <w:r>
        <w:rPr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4660D0" w:rsidRDefault="00B81A3A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t xml:space="preserve">1) </w:t>
      </w:r>
      <w:r>
        <w:rPr>
          <w:sz w:val="28"/>
        </w:rPr>
        <w:t>в таблице, определяющей площади функциональных зон, пункта 2.1 положения о территориальном планировании:</w:t>
      </w:r>
    </w:p>
    <w:p w:rsidR="004660D0" w:rsidRDefault="00B81A3A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color w:val="auto"/>
          <w:sz w:val="28"/>
        </w:rPr>
        <w:t>- цифры «1344,99</w:t>
      </w:r>
      <w:r>
        <w:rPr>
          <w:color w:val="auto"/>
          <w:sz w:val="28"/>
          <w:szCs w:val="28"/>
          <w:lang w:bidi="ru-RU"/>
        </w:rPr>
        <w:t>» заменить цифрами «1349,15</w:t>
      </w:r>
      <w:r>
        <w:rPr>
          <w:sz w:val="28"/>
          <w:szCs w:val="28"/>
          <w:lang w:bidi="ru-RU"/>
        </w:rPr>
        <w:t>»</w:t>
      </w:r>
      <w:r>
        <w:rPr>
          <w:sz w:val="28"/>
        </w:rPr>
        <w:t>;</w:t>
      </w:r>
    </w:p>
    <w:p w:rsidR="004660D0" w:rsidRDefault="00B81A3A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auto"/>
          <w:sz w:val="28"/>
        </w:rPr>
        <w:lastRenderedPageBreak/>
        <w:t>- цифры «7889,05</w:t>
      </w:r>
      <w:r>
        <w:rPr>
          <w:color w:val="auto"/>
          <w:sz w:val="28"/>
          <w:szCs w:val="28"/>
          <w:lang w:bidi="ru-RU"/>
        </w:rPr>
        <w:t>» заменить цифрами «7882,32»</w:t>
      </w:r>
      <w:r>
        <w:rPr>
          <w:sz w:val="28"/>
        </w:rPr>
        <w:t>;</w:t>
      </w:r>
    </w:p>
    <w:p w:rsidR="004660D0" w:rsidRDefault="00B81A3A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auto"/>
          <w:sz w:val="28"/>
        </w:rPr>
        <w:t>- цифры «14,18</w:t>
      </w:r>
      <w:r>
        <w:rPr>
          <w:color w:val="auto"/>
          <w:sz w:val="28"/>
          <w:szCs w:val="28"/>
          <w:lang w:bidi="ru-RU"/>
        </w:rPr>
        <w:t>» заменить цифрами «16,75»</w:t>
      </w:r>
      <w:r>
        <w:rPr>
          <w:sz w:val="28"/>
        </w:rPr>
        <w:t>;</w:t>
      </w:r>
    </w:p>
    <w:p w:rsidR="004660D0" w:rsidRDefault="00B81A3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1 согласно приложению № 1 к настоящему постановлению;</w:t>
      </w:r>
    </w:p>
    <w:p w:rsidR="004660D0" w:rsidRDefault="00B81A3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2 согласно приложению № 2 к настоящему постановлению;</w:t>
      </w:r>
    </w:p>
    <w:p w:rsidR="004660D0" w:rsidRDefault="00B81A3A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3 согласно приложению № 3 к настоящему постановлению.</w:t>
      </w:r>
    </w:p>
    <w:p w:rsidR="004660D0" w:rsidRDefault="00B81A3A" w:rsidP="00B81A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>
        <w:rPr>
          <w:color w:val="000000" w:themeColor="text1"/>
          <w:sz w:val="28"/>
          <w:szCs w:val="28"/>
        </w:rPr>
        <w:t>местополож</w:t>
      </w:r>
      <w:r>
        <w:rPr>
          <w:color w:val="000000" w:themeColor="text1"/>
          <w:sz w:val="28"/>
          <w:szCs w:val="28"/>
        </w:rPr>
        <w:t xml:space="preserve">ения границ населенного пункта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с. Казарь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</w:t>
      </w:r>
      <w:r>
        <w:rPr>
          <w:color w:val="000000" w:themeColor="text1"/>
          <w:sz w:val="28"/>
          <w:szCs w:val="28"/>
        </w:rPr>
        <w:t xml:space="preserve"> согласно приложению № 4 к настоящему постановлению.</w:t>
      </w:r>
    </w:p>
    <w:p w:rsidR="004660D0" w:rsidRDefault="00B81A3A" w:rsidP="00B81A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660D0" w:rsidRDefault="00B81A3A" w:rsidP="00B81A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</w:t>
      </w:r>
      <w:r>
        <w:rPr>
          <w:color w:val="000000" w:themeColor="text1"/>
          <w:sz w:val="28"/>
          <w:szCs w:val="28"/>
        </w:rPr>
        <w:t>ельного развития Рязанской области»:</w:t>
      </w:r>
      <w:r>
        <w:rPr>
          <w:color w:val="000000" w:themeColor="text1"/>
          <w:sz w:val="28"/>
          <w:szCs w:val="28"/>
        </w:rPr>
        <w:t xml:space="preserve"> </w:t>
      </w:r>
    </w:p>
    <w:p w:rsidR="004660D0" w:rsidRDefault="00B81A3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>1)  обеспечить доступ к изменениям в генеральный план муниципального образования – Мурминское сельское поселение Рязанского муниципального района Рязанской области в федеральной государственной информационной системе т</w:t>
      </w:r>
      <w:r>
        <w:rPr>
          <w:color w:val="000000" w:themeColor="text1"/>
          <w:sz w:val="28"/>
          <w:szCs w:val="28"/>
        </w:rPr>
        <w:t xml:space="preserve">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4660D0" w:rsidRDefault="00B81A3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</w:t>
      </w:r>
      <w:r>
        <w:rPr>
          <w:color w:val="000000" w:themeColor="text1"/>
          <w:sz w:val="28"/>
          <w:szCs w:val="28"/>
          <w:highlight w:val="white"/>
        </w:rPr>
        <w:t>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</w:t>
      </w:r>
      <w:r>
        <w:rPr>
          <w:color w:val="auto"/>
          <w:sz w:val="28"/>
          <w:szCs w:val="28"/>
          <w:highlight w:val="white"/>
        </w:rPr>
        <w:t xml:space="preserve">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</w:t>
      </w:r>
      <w:r>
        <w:rPr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государственной регистрации недвижимости</w:t>
      </w:r>
      <w:r>
        <w:rPr>
          <w:color w:val="auto"/>
          <w:sz w:val="28"/>
          <w:szCs w:val="28"/>
          <w:highlight w:val="white"/>
        </w:rPr>
        <w:t>»</w:t>
      </w:r>
      <w:r>
        <w:rPr>
          <w:sz w:val="28"/>
          <w:szCs w:val="28"/>
        </w:rPr>
        <w:t>.</w:t>
      </w:r>
    </w:p>
    <w:p w:rsidR="004660D0" w:rsidRDefault="00B81A3A" w:rsidP="00B81A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4660D0" w:rsidRDefault="00B81A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4660D0" w:rsidRDefault="00B81A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</w:t>
      </w:r>
      <w:r>
        <w:rPr>
          <w:rFonts w:ascii="Times New Roman" w:hAnsi="Times New Roman"/>
          <w:color w:val="000000" w:themeColor="text1"/>
          <w:sz w:val="28"/>
          <w:szCs w:val="28"/>
        </w:rPr>
        <w:t>анские ведомости» (www.rv-ryazan.ru) и на официальном интернет-портале правовой информации (www.pravo.gov.ru).</w:t>
      </w:r>
    </w:p>
    <w:p w:rsidR="004660D0" w:rsidRDefault="00B81A3A" w:rsidP="00B81A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4660D0" w:rsidRDefault="00B81A3A" w:rsidP="00B81A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муниципального</w:t>
      </w:r>
      <w:r>
        <w:rPr>
          <w:color w:val="000000" w:themeColor="text1"/>
          <w:sz w:val="28"/>
          <w:szCs w:val="28"/>
        </w:rPr>
        <w:t xml:space="preserve"> образования в сети «Интернет», публикацию в средствах массовой информации.</w:t>
      </w:r>
    </w:p>
    <w:p w:rsidR="004660D0" w:rsidRDefault="00B81A3A" w:rsidP="00B81A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lastRenderedPageBreak/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</w:t>
      </w:r>
      <w:r>
        <w:rPr>
          <w:color w:val="000000" w:themeColor="text1"/>
          <w:sz w:val="28"/>
          <w:szCs w:val="28"/>
        </w:rPr>
        <w:t>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4660D0" w:rsidRDefault="004660D0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4660D0" w:rsidRDefault="004660D0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4660D0" w:rsidRDefault="00B81A3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sectPr w:rsidR="004660D0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3A" w:rsidRDefault="00B81A3A">
      <w:r>
        <w:separator/>
      </w:r>
    </w:p>
  </w:endnote>
  <w:endnote w:type="continuationSeparator" w:id="0">
    <w:p w:rsidR="00B81A3A" w:rsidRDefault="00B8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3A" w:rsidRDefault="00B81A3A">
      <w:r>
        <w:separator/>
      </w:r>
    </w:p>
  </w:footnote>
  <w:footnote w:type="continuationSeparator" w:id="0">
    <w:p w:rsidR="00B81A3A" w:rsidRDefault="00B8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D0" w:rsidRDefault="00B81A3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E80B72" w:rsidRPr="00E80B72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660D0" w:rsidRDefault="004660D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140"/>
    <w:multiLevelType w:val="multilevel"/>
    <w:tmpl w:val="38B4AF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73A7143"/>
    <w:multiLevelType w:val="hybridMultilevel"/>
    <w:tmpl w:val="F538F1F8"/>
    <w:lvl w:ilvl="0" w:tplc="70C82BD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EDABD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25A7E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A8A2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1A88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42A09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A807B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542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045D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D0"/>
    <w:rsid w:val="004660D0"/>
    <w:rsid w:val="00B81A3A"/>
    <w:rsid w:val="00E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6FCE"/>
  <w15:docId w15:val="{EA00C2D7-A98F-4F03-BCFD-CD4C673D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2026-02-11T09:33:00Z</dcterms:created>
  <dcterms:modified xsi:type="dcterms:W3CDTF">2026-02-11T09:38:00Z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