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1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1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1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1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03 февраля 2026 г.  № 66-п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1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2"/>
        <w:contextualSpacing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17. Ж-1 Жилая зона индивидуальных и блокированных жилых домов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01"/>
        <w:numPr>
          <w:ilvl w:val="0"/>
          <w:numId w:val="0"/>
        </w:numPr>
        <w:ind w:left="0" w:right="0" w:firstLine="113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Жилая зона индивидуальных и блокированных жилых домов предназначена преимущественно для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 застройки индивидуальными и блокированными жилыми домами, с возможностью размещения малоэтажных многоквартирных жилых домов, а также объектами государственного, социального, культурного и коммунально-бытового назначения, обеспечивающих потребности жителей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Ж-1 Жилая зона индивидуальных и блокированных жилых домов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17.1.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78"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17.1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</w:pPr>
            <w:r>
              <w:t xml:space="preserve">2.2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color w:val="000000"/>
                <w:shd w:val="clear" w:color="auto" w:fill="auto"/>
              </w:rPr>
              <w:t xml:space="preserve">ранение автотранспорта;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2.7.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бытовое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объекты культурно-досуговой деятельности;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государственное управление;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деятельности в области гидрометеорологии и смежных с ней областей;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магазины;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занятий спортом в помещениях;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малоэтажная многоквартирная жилая застройка;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2.1.1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4.1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общественное питание.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4.6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7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01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Style w:val="70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Ж-1 Жилая зона индивидуальных и блокированных жилых домов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 таблице 17.2.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Style w:val="778"/>
        <w:contextualSpacing/>
        <w:jc w:val="right"/>
        <w:spacing w:before="0" w:after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17.2</w:t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81"/>
        <w:gridCol w:w="1083"/>
        <w:gridCol w:w="1226"/>
        <w:gridCol w:w="1099"/>
        <w:gridCol w:w="1419"/>
        <w:gridCol w:w="1773"/>
        <w:gridCol w:w="1616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auto"/>
                <w:sz w:val="24"/>
                <w:szCs w:val="24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ar-SA"/>
              </w:rPr>
              <w:t xml:space="preserve">***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200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4*/НПУ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4.6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4056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textDirection w:val="lrTb"/>
            <w:noWrap w:val="false"/>
          </w:tcPr>
          <w:p>
            <w:pPr>
              <w:pStyle w:val="779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</w:rPr>
              <w:suppressLineNumbers/>
            </w:pPr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 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</w:rPr>
            </w:r>
          </w:p>
          <w:p>
            <w:pPr>
              <w:pStyle w:val="751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**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  <w:p>
            <w:pPr>
              <w:pStyle w:val="751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Предельные (максимальные и минимальные) площади земельных участков, предоставляемых лицам, указанным в частях 1 и 2 статьи 4.1 Закона Рязанской области от 30.11.2011 № 109-ОЗ «О бесп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 статьи 4.3 указанного Закона. Предельные минимальные площади земельных участков, предоставляемых лицам, указанным в </w:t>
            </w:r>
            <w:hyperlink r:id="rId12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13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 и полных кавалеров ордена Славы», устанавливаются в соответствии с пунктом 4 статьи 5 указанного закона».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  <w:p>
            <w:pPr>
              <w:pStyle w:val="751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4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15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4"/>
                <w:u w:val="none"/>
                <w:shd w:val="clear" w:color="auto" w:fill="auto"/>
                <w:lang w:val="ru-RU" w:eastAsia="zh-CN" w:bidi="ar-SA"/>
              </w:rPr>
              <w:t xml:space="preserve"> от </w:t>
            </w:r>
            <w:hyperlink r:id="rId16" w:tooltip="http://15.01.1993/" w:history="1">
              <w:r>
                <w:rPr>
                  <w:rStyle w:val="742"/>
                  <w:rFonts w:ascii="Times New Roman" w:hAnsi="Times New Roman" w:eastAsia="Times New Roman" w:cs="Times New Roman"/>
                  <w:color w:val="000000" w:themeColor="text1"/>
                  <w:sz w:val="22"/>
                  <w:szCs w:val="24"/>
                  <w:u w:val="none"/>
                  <w:shd w:val="clear" w:color="auto" w:fill="auto"/>
                  <w:lang w:val="ru-RU" w:eastAsia="zh-CN" w:bidi="ar-SA"/>
                </w:rPr>
                <w:t xml:space="preserve">15.01.1993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№ 4301-1 «О статусе Героев Советского Союза, Героев Российской Федерации и полных кавалеров ордена Славы» - 5000 кв.м.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</w:tr>
    </w:tbl>
    <w:p>
      <w:pPr>
        <w:pStyle w:val="701"/>
        <w:jc w:val="right"/>
        <w:spacing w:before="0" w:after="0" w:afterAutospacing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01"/>
        <w:shd w:val="nil" w:color="ffffff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sz w:val="28"/>
          <w:lang w:eastAsia="zh-CN"/>
        </w:rPr>
        <w:outlineLvl w:val="0"/>
      </w:pPr>
      <w:r>
        <w:rPr>
          <w:rFonts w:ascii="Times New Roman" w:hAnsi="Times New Roman" w:eastAsia="Times New Roman" w:cs="Times New Roman"/>
          <w:sz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</w:p>
    <w:p>
      <w:pPr>
        <w:pStyle w:val="701"/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18. Ж-2  Жилая зона индивидуальных жилых домов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1"/>
        <w:numPr>
          <w:ilvl w:val="0"/>
          <w:numId w:val="0"/>
        </w:numPr>
        <w:ind w:left="0" w:firstLine="540"/>
        <w:jc w:val="both"/>
        <w:spacing w:before="0" w:after="0" w:afterAutospacing="0" w:line="240" w:lineRule="auto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Жилая зона индивидуальных жилых домов предназначена п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реимущественно для застройки индивидуальными жилыми домами с возможностью размещения малоэтажных многоквартирных жилых домов, а также объектами государственного, социального, культурного и коммунально-бытового назначения, обеспечивающих потребности жителей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01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Ж-2 Жилая зона индивидуальных жилых домов»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представлены в таблице 18.1.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18.1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  <w:suppressLineNumbers/>
            </w:pPr>
            <w:r>
              <w:rPr>
                <w:color w:val="000000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</w:pPr>
            <w:r>
              <w:t xml:space="preserve">2.2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color w:val="000000"/>
                <w:shd w:val="clear" w:color="auto" w:fill="auto"/>
              </w:rPr>
              <w:t xml:space="preserve">ранение автотранспорта;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2.7.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бытовое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объекты культурно-досуговой деятельности;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государственное управление;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деятельности в области гидрометеорологии и смежных с ней областей;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магазины;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занятий спортом в помещениях;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малоэтажная многоквартирная жилая застройка;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2.1.1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28" w:firstLine="0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деловое управление;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4.1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общественное питание.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</w:pPr>
            <w:r>
              <w:t xml:space="preserve">4.6</w:t>
            </w:r>
            <w:r/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 w:afterAutospacing="0"/>
              <w:widowControl w:val="off"/>
            </w:pPr>
            <w: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after="0" w:afterAutospacing="0"/>
              <w:widowControl w:val="off"/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701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 w:bidi="ar-SA"/>
        </w:rPr>
        <w:t xml:space="preserve">Ж-2 Жилая зона индивидуальных жилых домов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 таблице 18.2.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Style w:val="778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18.2</w:t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81"/>
        <w:gridCol w:w="1083"/>
        <w:gridCol w:w="1226"/>
        <w:gridCol w:w="1099"/>
        <w:gridCol w:w="1419"/>
        <w:gridCol w:w="1773"/>
        <w:gridCol w:w="1616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contextualSpacing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highlight w:val="none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highlight w:val="none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highlight w:val="none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jc w:val="center"/>
              <w:spacing w:before="100" w:after="1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  <w:highlight w:val="none"/>
              </w:rPr>
              <w:suppressLineNumbers/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  <w:highlight w:val="none"/>
              </w:rPr>
            </w:r>
            <w:r>
              <w:rPr>
                <w:rFonts w:ascii="Times New Roman" w:hAnsi="Times New Roman"/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6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ar-SA"/>
              </w:rPr>
              <w:t xml:space="preserve">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3.5.1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4*/НПУ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 (0)**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4037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textDirection w:val="lrTb"/>
            <w:noWrap w:val="false"/>
          </w:tcPr>
          <w:p>
            <w:pPr>
              <w:pStyle w:val="779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rPr>
                <w:highlight w:val="none"/>
              </w:rPr>
              <w:suppressLineNumbers/>
            </w:pPr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 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51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rPr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**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51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Предельные (максимальные и минимальные) площади земельных участков, предоставляемых лицам, указанным в частях 1 и 2 статьи 4.1 Закона Рязанской области от 30.11.2011 № 109-ОЗ «О бесп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 статьи 4.3 указанного Закона. Предельные минимальные площади земельных участков, предоставляемых лицам, указанным в </w:t>
            </w:r>
            <w:hyperlink r:id="rId17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18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 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51"/>
              <w:contextualSpacing/>
              <w:ind w:left="57" w:right="57" w:firstLine="0"/>
              <w:jc w:val="both"/>
              <w:spacing w:before="0" w:after="0" w:line="240" w:lineRule="auto"/>
              <w:widowControl w:val="off"/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9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20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4"/>
                <w:u w:val="none"/>
                <w:shd w:val="clear" w:color="auto" w:fill="auto"/>
                <w:lang w:val="ru-RU" w:eastAsia="zh-CN" w:bidi="ar-SA"/>
              </w:rPr>
              <w:t xml:space="preserve"> от </w:t>
            </w:r>
            <w:hyperlink r:id="rId21" w:tooltip="http://15.01.1993/" w:history="1">
              <w:r>
                <w:rPr>
                  <w:rStyle w:val="742"/>
                  <w:rFonts w:ascii="Times New Roman" w:hAnsi="Times New Roman" w:eastAsia="Times New Roman" w:cs="Times New Roman"/>
                  <w:color w:val="000000" w:themeColor="text1"/>
                  <w:sz w:val="22"/>
                  <w:szCs w:val="24"/>
                  <w:u w:val="none"/>
                  <w:shd w:val="clear" w:color="auto" w:fill="auto"/>
                  <w:lang w:val="ru-RU" w:eastAsia="zh-CN" w:bidi="ar-SA"/>
                </w:rPr>
                <w:t xml:space="preserve">15.01.1993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№ 4301-1 «О статусе Героев Советского Союза, Героев Российской Федерации и полных кавалеров ордена Славы» - 5000 кв.м.</w:t>
            </w:r>
            <w:r/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lang w:eastAsia="zh-CN"/>
        </w:rPr>
        <w:outlineLvl w:val="0"/>
      </w:pPr>
      <w:r>
        <w:rPr>
          <w:rFonts w:ascii="Times New Roman" w:hAnsi="Times New Roman" w:eastAsia="Times New Roman" w:cs="Times New Roman"/>
          <w:sz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  <w:r>
        <w:rPr>
          <w:rFonts w:ascii="Times New Roman" w:hAnsi="Times New Roman" w:eastAsia="Times New Roman" w:cs="Times New Roman"/>
          <w:sz w:val="28"/>
          <w:lang w:eastAsia="zh-CN"/>
        </w:rPr>
      </w:r>
    </w:p>
    <w:p>
      <w:pPr>
        <w:pStyle w:val="701"/>
        <w:numPr>
          <w:ilvl w:val="0"/>
          <w:numId w:val="0"/>
        </w:num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zh-C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19.  Ж-3 Жилая зона мало-, средне- и многоэтажных жилых домов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zh-CN"/>
        </w:rPr>
      </w:r>
    </w:p>
    <w:p>
      <w:pPr>
        <w:pStyle w:val="701"/>
        <w:numPr>
          <w:ilvl w:val="0"/>
          <w:numId w:val="0"/>
        </w:numPr>
        <w:ind w:left="0" w:firstLine="540"/>
        <w:jc w:val="both"/>
        <w:spacing w:before="0" w:after="0" w:line="240" w:lineRule="auto"/>
        <w:rPr>
          <w:rFonts w:eastAsia="Times New Roman" w:cs="Times New Roman"/>
          <w:lang w:eastAsia="zh-CN"/>
        </w:rPr>
        <w:outlineLvl w:val="0"/>
      </w:pPr>
      <w:r>
        <w:rPr>
          <w:rFonts w:eastAsia="Times New Roman" w:cs="Times New Roman"/>
          <w:lang w:eastAsia="zh-CN"/>
        </w:rPr>
      </w:r>
      <w:r>
        <w:rPr>
          <w:rFonts w:eastAsia="Times New Roman" w:cs="Times New Roman"/>
          <w:lang w:eastAsia="zh-CN"/>
        </w:rPr>
      </w:r>
      <w:r>
        <w:rPr>
          <w:rFonts w:eastAsia="Times New Roman" w:cs="Times New Roman"/>
          <w:lang w:eastAsia="zh-CN"/>
        </w:rPr>
      </w:r>
    </w:p>
    <w:p>
      <w:pPr>
        <w:pStyle w:val="751"/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/>
        </w:rPr>
      </w:pP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eastAsia="ar-SA"/>
        </w:rPr>
        <w:t xml:space="preserve">Жилая зона мало-, средне- и многоэтажных жилых домов предназначена преимущественно для застройки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среднеэтажными жилыми домами, с возможностью размещения малоэтажных и многоэтажных многоквартирных жилых домов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eastAsia="ar-SA"/>
        </w:rPr>
        <w:t xml:space="preserve">, а также отдельно стоящих, встроенных или пристроенных объектов государственного управления, социального назначения, культурно-досуговой деятельности, обеспечивающих потребности жителей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51"/>
        <w:contextualSpacing/>
        <w:ind w:left="0" w:right="0" w:firstLine="709"/>
        <w:jc w:val="both"/>
        <w:spacing w:before="0" w:after="0" w:afterAutospacing="0" w:line="240" w:lineRule="auto"/>
        <w:widowControl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зоне «Ж-3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Жилая зона мало-, средне- и многоэтажных жилых домов»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представлены в таблице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.1.</w:t>
      </w:r>
      <w:r/>
    </w:p>
    <w:p>
      <w:pPr>
        <w:pStyle w:val="751"/>
        <w:contextualSpacing/>
        <w:ind w:left="0" w:right="0" w:firstLine="567"/>
        <w:jc w:val="right"/>
        <w:spacing w:before="0" w:after="0" w:afterAutospacing="0" w:line="240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Таблица 19</w:t>
      </w:r>
      <w:r>
        <w:rPr>
          <w:rFonts w:ascii="Times New Roman" w:hAnsi="Times New Roman" w:eastAsia="Calibri" w:cs="Calibri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81"/>
        <w:gridCol w:w="5781"/>
        <w:gridCol w:w="20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000000"/>
                <w:shd w:val="clear" w:color="auto" w:fill="auto"/>
              </w:rPr>
              <w:t xml:space="preserve">Вид разрешенного использования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81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000000"/>
                <w:shd w:val="clear" w:color="auto" w:fill="auto"/>
              </w:rPr>
              <w:t xml:space="preserve">Наименование вида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000000"/>
                <w:shd w:val="clear" w:color="auto" w:fill="auto"/>
              </w:rPr>
              <w:t xml:space="preserve">разрешенного использования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000000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Основные виды разрешенного использования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малоэтажная многоквартирная жилая застройка;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2.1.1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000000"/>
                <w:shd w:val="clear" w:color="auto" w:fill="auto"/>
              </w:rPr>
              <w:t xml:space="preserve">среднеэтажная жилая застройка;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color w:val="000000"/>
                <w:shd w:val="clear" w:color="auto" w:fill="auto"/>
              </w:rPr>
              <w:t xml:space="preserve">ранение автотранспорта;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shd w:val="clear" w:color="auto" w:fill="auto"/>
              </w:rPr>
              <w:t xml:space="preserve">2.7.</w:t>
            </w:r>
            <w:r>
              <w:rPr>
                <w:rFonts w:eastAsia="Calibri" w:cs="Calibri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3.1.2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оказание услуг связи;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бытовое обслуживание;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амбулаторно-поликлиническое обслуживание;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дошкольное, начальное и среднее общее образование;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3.5.1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объекты культурно-досуговой деятельности;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3.6.1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государственное управление;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3.8.1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магазины;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4.4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обеспечение занятий спортом в помещениях;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5.1.2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площадки для занятий спортом;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5.1.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обеспечение внутреннего правопорядка;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8.3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земельные участки (территории) общего пользования.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12.0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100" w:after="1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t xml:space="preserve">для ведения личного подсобного хозяйства (приусадебный земельный участок);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2.2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деловое управление;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банковская и страховая деятельность;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4.5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общественное питание;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4.6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гостиничное обслуживание;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4.7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color w:val="auto"/>
              </w:rPr>
              <w:t xml:space="preserve">стоянка транспортных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</w:rPr>
            </w:pPr>
            <w:r>
              <w:t xml:space="preserve">4.9.2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t xml:space="preserve">Вспомогательные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t xml:space="preserve">виды разрешенного использования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81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100"/>
              <w:widowControl w:val="off"/>
              <w:rPr>
                <w:rFonts w:ascii="Times New Roman" w:hAnsi="Times New Roman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51"/>
        <w:contextualSpacing/>
        <w:ind w:left="0" w:right="0" w:firstLine="0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751"/>
        <w:contextualSpacing/>
        <w:ind w:left="0" w:right="0" w:firstLine="680"/>
        <w:jc w:val="both"/>
        <w:spacing w:before="0" w:after="0" w:afterAutospacing="0" w:line="228" w:lineRule="auto"/>
        <w:widowControl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Предельные размеры земельных участков,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ru-RU" w:bidi="ar-SA"/>
        </w:rPr>
        <w:t xml:space="preserve">в том числе их площадь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«Ж-3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Жилая зона мало-, средне- и многоэтажных жилых домов»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представлены в таблице 19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751"/>
        <w:contextualSpacing/>
        <w:ind w:left="0" w:right="0" w:firstLine="737"/>
        <w:jc w:val="right"/>
        <w:spacing w:before="0" w:after="0" w:afterAutospacing="0" w:line="228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51"/>
        <w:contextualSpacing/>
        <w:ind w:left="0" w:right="0" w:firstLine="737"/>
        <w:jc w:val="right"/>
        <w:spacing w:before="0" w:after="0" w:afterAutospacing="0" w:line="228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51"/>
        <w:contextualSpacing/>
        <w:ind w:left="0" w:right="0" w:firstLine="737"/>
        <w:jc w:val="right"/>
        <w:spacing w:before="0" w:after="0" w:afterAutospacing="0" w:line="228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51"/>
        <w:contextualSpacing/>
        <w:ind w:left="0" w:right="0" w:firstLine="737"/>
        <w:jc w:val="right"/>
        <w:spacing w:before="0" w:after="0" w:afterAutospacing="0" w:line="228" w:lineRule="auto"/>
        <w:widowControl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Таблица 19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.2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80"/>
        <w:gridCol w:w="1084"/>
        <w:gridCol w:w="1224"/>
        <w:gridCol w:w="1098"/>
        <w:gridCol w:w="1352"/>
        <w:gridCol w:w="1803"/>
        <w:gridCol w:w="1656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auto"/>
                <w:sz w:val="24"/>
                <w:szCs w:val="24"/>
              </w:rPr>
              <w:t xml:space="preserve">земельного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участка (м)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Площадь земельного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Минималь-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ный отступ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от границ земельного участка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(м)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3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Максималь-ный процент застройки в границах земельного участка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b w:val="0"/>
                <w:bCs w:val="0"/>
                <w:color w:val="auto"/>
              </w:rPr>
              <w:t xml:space="preserve">1000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4*/НПУ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b w:val="0"/>
                <w:bCs w:val="0"/>
                <w:color w:val="auto"/>
              </w:rPr>
              <w:t xml:space="preserve">1500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8*/НПУ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80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b w:val="0"/>
                <w:bCs w:val="0"/>
                <w:color w:val="000000"/>
                <w:shd w:val="clear" w:color="auto" w:fil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3.5.1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1000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1000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auto"/>
              </w:rPr>
              <w:t xml:space="preserve">1000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8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 w:line="228" w:lineRule="auto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 w:line="228" w:lineRule="auto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5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600***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 w:line="228" w:lineRule="auto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en-US" w:eastAsia="zh-CN" w:bidi="ar-SA"/>
              </w:rPr>
              <w:t xml:space="preserve">***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0" w:right="0" w:firstLine="0"/>
              <w:jc w:val="center"/>
              <w:spacing w:before="0" w:after="0" w:line="228" w:lineRule="auto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(5000)*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200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2500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 (0)**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3*/20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</w:t>
            </w:r>
            <w:r>
              <w:rPr>
                <w:color w:val="auto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  <w:t xml:space="preserve">60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18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textDirection w:val="lrTb"/>
            <w:noWrap w:val="false"/>
          </w:tcPr>
          <w:p>
            <w:pPr>
              <w:pStyle w:val="779"/>
              <w:ind w:left="57" w:right="57" w:firstLine="0"/>
              <w:jc w:val="both"/>
              <w:spacing w:before="0" w:after="0" w:line="228" w:lineRule="auto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auto"/>
              </w:rPr>
              <w:t xml:space="preserve">*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51"/>
              <w:ind w:left="57" w:right="57" w:firstLine="0"/>
              <w:jc w:val="both"/>
              <w:spacing w:before="0" w:after="0" w:line="228" w:lineRule="auto"/>
              <w:widowControl w:val="off"/>
              <w:rPr>
                <w:highlight w:val="none"/>
              </w:rPr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</w:rPr>
              <w:t xml:space="preserve">**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51"/>
              <w:ind w:left="57" w:right="57" w:firstLine="0"/>
              <w:jc w:val="both"/>
              <w:spacing w:before="0" w:after="0" w:line="228" w:lineRule="auto"/>
              <w:widowControl w:val="off"/>
              <w:suppressLineNumbers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Предельные (максимальные и минимальные) площади земельных участков, предоставляемых лицам, указанным в частях 1 и 2 статьи 4.1 Закона Рязанской области от 30.11.2011 № 109-ОЗ «О бесп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 статьи 4.3 указанного Закона. Предельные минимальные площади земельных участков, предоставляемых лицам, указанным в </w:t>
            </w:r>
            <w:hyperlink r:id="rId22" w:tooltip="https://login.consultant.ru/link/?req=doc&amp;base=LAW&amp;n=477365&amp;dst=100138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23" w:tooltip="https://login.consultant.ru/link/?req=doc&amp;base=LAW&amp;n=477365&amp;dst=100139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 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79"/>
              <w:ind w:left="57" w:right="57" w:firstLine="0"/>
              <w:jc w:val="both"/>
              <w:spacing w:before="0" w:after="0" w:line="228" w:lineRule="auto"/>
              <w:widowControl w:val="off"/>
              <w:rPr>
                <w:rFonts w:ascii="Times New Roman" w:hAnsi="Times New Roman"/>
              </w:rPr>
              <w:suppressLineNumbers/>
            </w:pPr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*</w:t>
            </w:r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  <w:vertAlign w:val="superscript"/>
                <w:lang w:val="ru-RU" w:eastAsia="zh-CN" w:bidi="ar-SA"/>
              </w:rPr>
              <w:t xml:space="preserve">4</w:t>
            </w:r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24" w:tooltip="https://login.consultant.ru/link/?req=doc&amp;base=LAW&amp;n=477365&amp;dst=100138" w:history="1">
              <w:r>
                <w:rPr>
                  <w:rFonts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пунктах 4</w:t>
              </w:r>
            </w:hyperlink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и </w:t>
            </w:r>
            <w:hyperlink r:id="rId25" w:tooltip="https://login.consultant.ru/link/?req=doc&amp;base=LAW&amp;n=477365&amp;dst=100139" w:history="1">
              <w:r>
                <w:rPr>
                  <w:rFonts w:eastAsia="Times New Roman" w:cs="Times New Roman"/>
                  <w:color w:val="000000"/>
                  <w:sz w:val="22"/>
                  <w:szCs w:val="24"/>
                  <w:shd w:val="clear" w:color="auto" w:fill="auto"/>
                  <w:lang w:val="ru-RU" w:eastAsia="zh-CN" w:bidi="ar-SA"/>
                </w:rPr>
                <w:t xml:space="preserve">4.1 статьи 5</w:t>
              </w:r>
            </w:hyperlink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Закона Российской Федерации</w:t>
            </w:r>
            <w:r>
              <w:rPr>
                <w:rFonts w:eastAsia="Times New Roman" w:cs="Times New Roman"/>
                <w:color w:val="000000" w:themeColor="text1"/>
                <w:sz w:val="22"/>
                <w:szCs w:val="24"/>
                <w:u w:val="none"/>
                <w:shd w:val="clear" w:color="auto" w:fill="auto"/>
                <w:lang w:val="ru-RU" w:eastAsia="zh-CN" w:bidi="ar-SA"/>
              </w:rPr>
              <w:t xml:space="preserve"> от </w:t>
            </w:r>
            <w:hyperlink r:id="rId26" w:tooltip="http://15.01.1993/" w:history="1">
              <w:r>
                <w:rPr>
                  <w:rStyle w:val="742"/>
                  <w:rFonts w:eastAsia="Times New Roman" w:cs="Times New Roman"/>
                  <w:color w:val="000000" w:themeColor="text1"/>
                  <w:sz w:val="22"/>
                  <w:szCs w:val="24"/>
                  <w:u w:val="none"/>
                  <w:shd w:val="clear" w:color="auto" w:fill="auto"/>
                  <w:lang w:val="ru-RU" w:eastAsia="zh-CN" w:bidi="ar-SA"/>
                </w:rPr>
                <w:t xml:space="preserve">15.01.1993</w:t>
              </w:r>
            </w:hyperlink>
            <w:r>
              <w:rPr>
                <w:rFonts w:eastAsia="Times New Roman" w:cs="Times New Roman"/>
                <w:color w:val="000000"/>
                <w:sz w:val="22"/>
                <w:szCs w:val="24"/>
                <w:shd w:val="clear" w:color="auto" w:fill="auto"/>
                <w:lang w:val="ru-RU" w:eastAsia="zh-CN" w:bidi="ar-SA"/>
              </w:rPr>
              <w:t xml:space="preserve"> № 4301-1 «О статусе Героев Советского Союза, Героев Российской Федерации и полных кавалеров ордена Славы» - 5000 кв.м.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01"/>
        <w:jc w:val="right"/>
        <w:spacing w:before="0"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shd w:val="nil" w:color="ffffff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20.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Д-1 Общественно-деловая зона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ind w:left="0" w:right="0" w:firstLine="113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701"/>
        <w:contextualSpacing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Общественно-деловая зона выделена для  размещения специализированных общественно-деловых объектов, преимущественно некоммерческого назначения и объектов дошкольного, начального и среднего общего образования.</w:t>
      </w:r>
      <w:r/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Д-1 Общественно-деловая зона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20.1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20.1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дома социального обслуживания;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оказание социальной помощи населению;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оказание услуг связи;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общежития;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дошкольное, начальное и среднее общее образование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среднее и высшее профессиональное образование;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объекты культурно-досуговой деятельности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государственное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управление;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обеспечение занятий спортом в помещениях;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площадки для занятий спортом;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обеспечение внутреннего правопорядка;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хранение автотранспорта;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бытовое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амбулаторно-поликлиническое обслуживание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;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стационарное медицинское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магазины.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Д-1 Общественно-деловая зона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</w:t>
        <w:br/>
        <w:t xml:space="preserve">в таблице 20.2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highlight w:val="none"/>
          <w:lang w:eastAsia="zh-CN"/>
        </w:rPr>
      </w:r>
      <w:r>
        <w:rPr>
          <w:rFonts w:ascii="Times New Roman" w:hAnsi="Times New Roman" w:eastAsia="Times New Roman" w:cs="Times New Roman"/>
          <w:highlight w:val="none"/>
          <w:lang w:eastAsia="zh-CN"/>
        </w:rPr>
      </w:r>
    </w:p>
    <w:p>
      <w:pPr>
        <w:pStyle w:val="778"/>
        <w:contextualSpacing/>
        <w:jc w:val="right"/>
        <w:spacing w:before="0" w:after="0"/>
        <w:rPr>
          <w:rFonts w:eastAsia="NSimSun" w:cs="Times New Roman"/>
          <w:color w:val="auto"/>
          <w:highlight w:val="none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20.2</w:t>
      </w:r>
      <w:r>
        <w:rPr>
          <w:rFonts w:eastAsia="NSimSun" w:cs="Times New Roman"/>
          <w:color w:val="auto"/>
          <w:highlight w:val="none"/>
          <w:lang w:eastAsia="zh-CN" w:bidi="ar-SA"/>
        </w:rPr>
      </w:r>
      <w:r>
        <w:rPr>
          <w:rFonts w:eastAsia="NSimSun" w:cs="Times New Roman"/>
          <w:color w:val="auto"/>
          <w:highlight w:val="none"/>
          <w:lang w:eastAsia="zh-CN" w:bidi="ar-SA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81"/>
        <w:gridCol w:w="1083"/>
        <w:gridCol w:w="1225"/>
        <w:gridCol w:w="1100"/>
        <w:gridCol w:w="1418"/>
        <w:gridCol w:w="1773"/>
        <w:gridCol w:w="1617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auto"/>
                <w:sz w:val="24"/>
                <w:szCs w:val="24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auto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auto"/>
                <w:sz w:val="24"/>
                <w:szCs w:val="24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Merge w:val="restart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  <w:sz w:val="24"/>
                <w:szCs w:val="24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  <w:r>
              <w:rPr>
                <w:rFonts w:ascii="Times New Roman" w:hAnsi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1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3.2.4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5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7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7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792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textDirection w:val="lrTb"/>
            <w:noWrap w:val="false"/>
          </w:tcPr>
          <w:p>
            <w:pPr>
              <w:pStyle w:val="779"/>
              <w:ind w:left="57" w:right="57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</w:rPr>
              <w:suppressLineNumbers/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</w:rPr>
              <w:t xml:space="preserve">* 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21.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Д-2 Общественно-деловая зона объектов многофункциональной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28" w:lineRule="auto"/>
      </w:pPr>
      <w:r>
        <w:rPr>
          <w:rStyle w:val="749"/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ar-SA"/>
        </w:rPr>
        <w:t xml:space="preserve">Общественно-деловая зона объектов многофункциональной застройки 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/>
        </w:rPr>
        <w:t xml:space="preserve"> предназначена для размещения общественно-деловых объектов, социального и коммунально-бытового назначения, объектов инженерной и транспортной инфраструктур.</w:t>
      </w:r>
      <w:r/>
    </w:p>
    <w:p>
      <w:pPr>
        <w:pStyle w:val="701"/>
        <w:contextualSpacing/>
        <w:ind w:left="0" w:right="0" w:firstLine="709"/>
        <w:jc w:val="both"/>
        <w:spacing w:before="0" w:after="0" w:afterAutospacing="0" w:line="228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Виды разрешенного использования земельных участков и объектов капитального строительства в зоне </w:t>
      </w:r>
      <w:r>
        <w:rPr>
          <w:rStyle w:val="749"/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размещения объектов в зоне «Д-2 Общественно-деловая зона объектов многофункциональной застройки»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представлены</w:t>
        <w:br/>
        <w:t xml:space="preserve">в таблице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ru-RU"/>
        </w:rPr>
        <w:t xml:space="preserve">21.1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/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21.1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5813"/>
        <w:gridCol w:w="20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социальной помощи населению;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услуг связи;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hd w:val="clear" w:color="auto" w:fill="auto"/>
              </w:rPr>
              <w:t xml:space="preserve">общежития;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3.2.4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бытовое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амбулаторно-поликлиническое обслуживание</w:t>
            </w:r>
            <w:r>
              <w:rPr>
                <w:color w:val="000000"/>
                <w:shd w:val="clear" w:color="auto" w:fill="auto"/>
              </w:rPr>
              <w:t xml:space="preserve">;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стационарное медицинское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объекты культурно-досуговой деятельности</w:t>
            </w:r>
            <w:r>
              <w:rPr>
                <w:color w:val="000000"/>
                <w:shd w:val="clear" w:color="auto" w:fill="auto"/>
              </w:rPr>
              <w:t xml:space="preserve">; </w:t>
            </w:r>
            <w:r>
              <w:rPr>
                <w:rFonts w:eastAsia="Arial" w:cs="Arial"/>
                <w:color w:val="252625"/>
                <w:sz w:val="24"/>
                <w:shd w:val="clear" w:color="auto" w:fill="auto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государственное</w:t>
            </w:r>
            <w:r>
              <w:rPr>
                <w:color w:val="000000"/>
                <w:shd w:val="clear" w:color="auto" w:fill="auto"/>
              </w:rPr>
              <w:t xml:space="preserve"> управление;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деловое управление;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объекты торговли (торговые центры, торгово-развлекательные центры (комплексы);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рынки;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магазины;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банковская и страховая деятельность;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общественное питание.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гостиничное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развлекательные мероприятия;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служебные гаражи;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стоянка транспортных средств;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выставочно-ярмарочная деятельность;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занятий спортом в помещениях;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площадки для занятий спортом;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обслуживание перевозок пассажиров;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7.2.2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внутреннего правопорядка;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хранение автотранспорта;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бытовое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религиозное использование.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6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Style w:val="749"/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  <w:lang w:val="ru-RU" w:eastAsia="ar-SA" w:bidi="ar-SA"/>
        </w:rPr>
        <w:t xml:space="preserve">Д-2 Общественно-деловая зона объектов многофункциональной застройки»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представлены в таблице 21.2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21.2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5"/>
        <w:gridCol w:w="1098"/>
        <w:gridCol w:w="1353"/>
        <w:gridCol w:w="1825"/>
        <w:gridCol w:w="1632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3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13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57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7.2.2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</w:t>
            </w:r>
            <w:r>
              <w:rPr>
                <w:color w:val="000000"/>
                <w:shd w:val="clear" w:color="auto" w:fill="auto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7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17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600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859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57" w:right="0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auto"/>
              </w:rPr>
              <w:t xml:space="preserve">*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22.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Д-3 Общественно-деловая зона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Общественно-деловая зона  выделена для создания условий функционирования и формирования 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 объектов здравоохранения, культуры, социального и коммунально-бытового назначения.</w:t>
      </w:r>
      <w:r/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Д-3 Общественно-деловая зона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22.1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22.1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55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spacing w:before="0" w:beforeAutospacing="0" w:after="0" w:afterAutospacing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дома социального обслуживания;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социальной помощи населению;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оказание услуг связи;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бытовое обслуживание;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амбулаторно-поликлиническое обслуживание</w:t>
            </w:r>
            <w:r>
              <w:rPr>
                <w:color w:val="000000"/>
                <w:shd w:val="clear" w:color="auto" w:fill="auto"/>
              </w:rPr>
              <w:t xml:space="preserve">; 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both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стационарное медицинское обслуживание;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both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объекты культурно-досуговой деятельности</w:t>
            </w:r>
            <w:r>
              <w:rPr>
                <w:color w:val="000000"/>
                <w:shd w:val="clear" w:color="auto" w:fill="auto"/>
              </w:rPr>
              <w:t xml:space="preserve">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both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государственное</w:t>
            </w:r>
            <w:r>
              <w:rPr>
                <w:color w:val="000000"/>
                <w:shd w:val="clear" w:color="auto" w:fill="auto"/>
              </w:rPr>
              <w:t xml:space="preserve"> управление;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занятий спортом в помещениях;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площадки для занятий спортом;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внутреннего правопорядка;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both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хранение автотранспорта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общежития;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3.2.4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дошкольное, начальное и среднее общее образование</w:t>
            </w:r>
            <w:r>
              <w:rPr>
                <w:color w:val="000000"/>
                <w:shd w:val="clear" w:color="auto" w:fill="auto"/>
              </w:rPr>
              <w:t xml:space="preserve">;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3.5.1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среднее и высшее профессиональное образование;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Д-3 Общественно-деловая зона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</w:t>
        <w:br/>
        <w:t xml:space="preserve">в таблице в таблице 22.2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22.2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3"/>
        <w:gridCol w:w="1224"/>
        <w:gridCol w:w="1101"/>
        <w:gridCol w:w="1350"/>
        <w:gridCol w:w="1825"/>
        <w:gridCol w:w="163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3.2.3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3.4.2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3.6.1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3.8.1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100</w:t>
            </w:r>
            <w:r>
              <w:rPr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57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74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3.2.4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3.5.1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100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859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57" w:right="57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auto"/>
              </w:rPr>
              <w:t xml:space="preserve">*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bookmarkStart w:id="3" w:name="undefined"/>
      <w:r/>
      <w:bookmarkEnd w:id="3"/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П-1 Производственная зона объектов производства пищевых продуктов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8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Производственная зона объектов производства пищевых продуктов  предназначена для 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формирования и развития зоны пищевой промышленности.</w:t>
      </w:r>
      <w:r/>
    </w:p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«П-1 Производственная зона объектов производства пищевых продуктов» представлены в таблице 23.1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23.1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80"/>
        <w:gridCol w:w="5813"/>
        <w:gridCol w:w="20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пищевая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связь.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6.8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магазины;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объекты дорожного сервиса;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л</w:t>
            </w:r>
            <w:r>
              <w:rPr>
                <w:shd w:val="clear" w:color="auto" w:fill="auto"/>
              </w:rPr>
              <w:t xml:space="preserve">егкая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строительная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склад</w:t>
            </w:r>
            <w:r>
              <w:rPr>
                <w:sz w:val="24"/>
                <w:szCs w:val="24"/>
                <w:shd w:val="clear" w:color="auto" w:fill="auto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ascii="Times New Roman" w:hAnsi="Times New Roman"/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6.9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П-1 Производственная зона объектов производства пищевых продуктов» представлены в таблице 23.2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23.2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2"/>
        <w:gridCol w:w="1078"/>
        <w:gridCol w:w="1082"/>
        <w:gridCol w:w="1224"/>
        <w:gridCol w:w="1102"/>
        <w:gridCol w:w="1349"/>
        <w:gridCol w:w="1825"/>
        <w:gridCol w:w="1636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6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П-2 Производственная зона объектов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35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Производственная зона объектов предназначена для формирования и развития зоны текстильного и швейного производства, производства кожи, изделий из кожи издательской и полиграфической деятельности, обработки древесины и производства изделий из дерева.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35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П-2 Производственная зона объектов»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ascii="Times New Roman" w:hAnsi="Times New Roman" w:eastAsia="XO Thames;Times New Roman" w:cs="Times New Roman"/>
          <w:color w:val="000000"/>
          <w:sz w:val="28"/>
          <w:szCs w:val="28"/>
          <w:shd w:val="clear" w:color="auto" w:fill="auto"/>
          <w:lang w:val="ru-RU" w:eastAsia="ar-SA" w:bidi="ar-SA"/>
        </w:rPr>
        <w:t xml:space="preserve"> представлены в таблице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35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24.1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л</w:t>
            </w:r>
            <w:r>
              <w:rPr>
                <w:shd w:val="clear" w:color="auto" w:fill="auto"/>
              </w:rPr>
              <w:t xml:space="preserve">егкая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строительная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связь;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целлюлозно-бумажная промышленность.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магазины;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пищевая промышленность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склад</w:t>
            </w:r>
            <w:r>
              <w:rPr>
                <w:shd w:val="clear" w:color="auto" w:fill="auto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П-2 Производственная зона объектов»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таблице 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24.2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3"/>
        <w:gridCol w:w="1224"/>
        <w:gridCol w:w="1101"/>
        <w:gridCol w:w="1350"/>
        <w:gridCol w:w="1825"/>
        <w:gridCol w:w="163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color w:val="000000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</w:rPr>
            </w:r>
            <w:r>
              <w:rPr>
                <w:rFonts w:eastAsia="Calibri" w:cs="Calibri"/>
                <w:color w:val="auto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5. П-3 Производственная зона складов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701"/>
        <w:contextualSpacing/>
        <w:ind w:left="0" w:right="0" w:firstLine="708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Производственная зона складов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 w:bidi="ar-SA"/>
        </w:rPr>
        <w:t xml:space="preserve">предназначена для размещения коммунальн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val="ru-RU" w:eastAsia="ru-RU" w:bidi="ar-SA"/>
        </w:rPr>
        <w:t xml:space="preserve">ых и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 w:bidi="ar-SA"/>
        </w:rPr>
        <w:t xml:space="preserve">складских объектов, деятельность которых связана с воздействием на окружающую среду, для которых необходима организация санитарно-защитной зоны в соответствии с требованиями технических регламентов в границах населенных пунктов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zh-CN" w:bidi="ar-SA"/>
        </w:rPr>
        <w:t xml:space="preserve">.</w:t>
      </w:r>
      <w:r/>
    </w:p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«П3 Производственная зона складов»  представлены в таблице 25.1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25.1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color w:val="000000"/>
                <w:shd w:val="clear" w:color="auto" w:fill="auto"/>
              </w:rPr>
              <w:t xml:space="preserve">ранение автотранспорта;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размещение гаражей для собственных нужд;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стоянка транспортных средств;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склад;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складские площадки;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внутреннего правопорядка.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бытовое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6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объекты дорожного сервиса.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contextualSpacing/>
        <w:ind w:left="0" w:right="0" w:firstLine="850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П3 Производственная зона складов» представлены в таблице 25.2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25.2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4"/>
        <w:gridCol w:w="1224"/>
        <w:gridCol w:w="1100"/>
        <w:gridCol w:w="1351"/>
        <w:gridCol w:w="1825"/>
        <w:gridCol w:w="163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0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28" w:right="57" w:firstLine="0"/>
              <w:jc w:val="both"/>
              <w:spacing w:before="0" w:beforeAutospacing="0" w:after="0" w:afterAutospacing="0"/>
              <w:widowControl w:val="off"/>
              <w:rPr>
                <w:rFonts w:eastAsia="Calibri" w:cs="Calibri"/>
                <w:color w:val="000000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* 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eastAsia="Calibri" w:cs="Calibri"/>
                <w:color w:val="000000"/>
              </w:rPr>
            </w:r>
            <w:r>
              <w:rPr>
                <w:rFonts w:eastAsia="Calibri" w:cs="Calibri"/>
                <w:color w:val="000000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6. ПД-1 Многофункциональная зона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Многофункциональная зона предназначена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для размещения общественно-деловых объектов и коммунально-складских объектов, деятельность которых связана с воздействием на окружающую среду, для которых необходима организация санитарно-защитной зоны в соответствии с требованиями технических регламентов.</w:t>
      </w:r>
      <w:r/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«ПД-1 Многофункциональная зона»  представлены в таблице 26.1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26.1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х</w:t>
            </w:r>
            <w:r>
              <w:rPr>
                <w:shd w:val="clear" w:color="auto" w:fill="auto"/>
              </w:rPr>
              <w:t xml:space="preserve">ранение автотранспорта;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размещение гаражей для собственных нужд;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магазины;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объекты дорожного сервиса;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стоянка транспортных средств;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склад;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складские площадки;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обеспечение внутреннего правопорядка.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бытовое обслуживание;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амбулаторно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е </w:t>
            </w:r>
            <w:r>
              <w:rPr>
                <w:color w:val="000000"/>
                <w:shd w:val="clear" w:color="auto" w:fill="auto"/>
              </w:rPr>
              <w:t xml:space="preserve">ветеринарное обслуживание.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3.10.1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л</w:t>
            </w:r>
            <w:r>
              <w:rPr>
                <w:shd w:val="clear" w:color="auto" w:fill="auto"/>
              </w:rPr>
              <w:t xml:space="preserve">егкая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пищевая промышленность;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строительная промышленность.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ПД-1 Многофункциональная зона» представлены в таблице в таблице 26.2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26.2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4"/>
        <w:gridCol w:w="1224"/>
        <w:gridCol w:w="1100"/>
        <w:gridCol w:w="1351"/>
        <w:gridCol w:w="1825"/>
        <w:gridCol w:w="163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color w:val="000000"/>
                <w:shd w:val="clear" w:color="auto" w:fill="auto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3.10.1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6.3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6.6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91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57" w:right="57" w:firstLine="57"/>
              <w:jc w:val="both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* 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7. У Зона улично-дорожной сети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Зона улично-дорожной сети выделена для размещения объектов автомобильного транспорта, трубопроводного транспорта, объектов дорожного сервиса и коммунального назначения.</w:t>
      </w:r>
      <w:r/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тва в зоне «У Зона улично-дорожной сети»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27.1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27.1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автомобильный транспорт;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обеспечение внутреннего правопорядка;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  <w:shd w:val="clear" w:color="auto" w:fill="auto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объекты дорожного сервиса.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У Зоны улично-дорожной сети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27.2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27.2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4"/>
        <w:gridCol w:w="1224"/>
        <w:gridCol w:w="1100"/>
        <w:gridCol w:w="1351"/>
        <w:gridCol w:w="1825"/>
        <w:gridCol w:w="163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0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4" w:name="undefined_Copy_1"/>
            <w:r/>
            <w:bookmarkEnd w:id="4"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8.3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  <w:r>
              <w:rPr>
                <w:rFonts w:eastAsia="Calibri" w:cs="Calibri"/>
                <w:color w:val="auto"/>
                <w:lang w:val="ru-RU"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8. И-1 Зона объектов инженерной и транспортной инфраструктур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701"/>
        <w:ind w:left="0" w:right="0" w:firstLine="708"/>
        <w:jc w:val="both"/>
        <w:spacing w:before="0" w:after="0" w:line="23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Зона объектов инженерной и транспортной инфраструктур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 w:bidi="ar-SA"/>
        </w:rPr>
        <w:t xml:space="preserve">предназначена для размещения объектов коммунального обслуживания, связанных с обеспечением энергоснабжением, теплоснабжением, газоснабжением, водоснабжением, водоотведением, очисткой стоков, связи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ru-RU" w:bidi="ar-SA"/>
        </w:rPr>
        <w:t xml:space="preserve">, а также для размещения объектов </w:t>
      </w:r>
      <w:r>
        <w:rPr>
          <w:rFonts w:ascii="Times New Roman" w:hAnsi="Times New Roman" w:eastAsia="Calibri" w:cs="Calibri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транспортной инфраструктуры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.</w:t>
      </w:r>
      <w:r/>
    </w:p>
    <w:p>
      <w:pPr>
        <w:pStyle w:val="701"/>
        <w:ind w:left="0" w:right="0" w:firstLine="708"/>
        <w:jc w:val="both"/>
        <w:spacing w:before="0" w:after="0" w:afterAutospacing="0" w:line="23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«И-1 Зона объектов инженерной и транспортной инфраструктур» представлены в таблице 28.1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28.1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размещение гаражей для собственных нужд;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стоянка транспортных средств;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энергетика;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связь;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трубопроводный транспорт;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7.5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гидротехнические сооружения;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01"/>
              <w:contextualSpacing/>
              <w:ind w:left="28" w:right="0" w:firstLine="0"/>
              <w:jc w:val="left"/>
              <w:spacing w:before="0" w:after="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auto"/>
                <w:lang w:eastAsia="ru-RU"/>
              </w:rPr>
              <w:t xml:space="preserve">улично-дорожная сеть.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2"/>
              </w:numPr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3"/>
              </w:numPr>
              <w:ind w:left="28" w:right="0" w:firstLine="0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объекты дорожного сервиса.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3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9"/>
        <w:jc w:val="both"/>
        <w:spacing w:before="0" w:after="0" w:afterAutospacing="0" w:line="23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И-1 Зона объектов инженерной и транспортной инфраструктур» представлены в таблице 28.2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28.2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3"/>
        <w:gridCol w:w="1224"/>
        <w:gridCol w:w="1101"/>
        <w:gridCol w:w="1350"/>
        <w:gridCol w:w="1825"/>
        <w:gridCol w:w="163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2.7.2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1*/4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4.9.2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6.8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7.5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11.3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numPr>
                <w:ilvl w:val="0"/>
                <w:numId w:val="4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831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57" w:right="57" w:firstLine="0"/>
              <w:jc w:val="both"/>
              <w:spacing w:before="0" w:after="0"/>
              <w:widowControl w:val="off"/>
              <w:rPr>
                <w:highlight w:val="none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auto"/>
              </w:rPr>
              <w:t xml:space="preserve">*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9.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auto"/>
        </w:rPr>
        <w:t xml:space="preserve">С-1 Зона сельскохозяйственных угодий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Зона сельскохозяйственных угодий  предназначена для  развития сельскохозяйственных угодий, питомников и теплиц.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ar-SA"/>
        </w:rPr>
        <w:t xml:space="preserve">зоне «С-1 Зона сельскохозяйственных угодий»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представлены в таблице 29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29.1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80"/>
        <w:gridCol w:w="5813"/>
        <w:gridCol w:w="20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0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contextualSpacing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vAlign w:val="center"/>
            <w:textDirection w:val="lrTb"/>
            <w:noWrap w:val="false"/>
          </w:tcPr>
          <w:p>
            <w:pPr>
              <w:pStyle w:val="779"/>
              <w:contextualSpacing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растениеводство;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питомники;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1.17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сенокошение.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1.19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ведение огородничества;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13.1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ведение садоводства.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13.2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0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не подлежат установлению.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dxa"/>
            <w:textDirection w:val="lrTb"/>
            <w:noWrap w:val="false"/>
          </w:tcPr>
          <w:p>
            <w:pPr>
              <w:pStyle w:val="779"/>
              <w:ind w:left="0" w:right="16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С-1 Зона сельскохозяйственных угодий»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29.2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29.2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2"/>
        <w:gridCol w:w="1078"/>
        <w:gridCol w:w="1082"/>
        <w:gridCol w:w="1224"/>
        <w:gridCol w:w="1102"/>
        <w:gridCol w:w="1349"/>
        <w:gridCol w:w="1825"/>
        <w:gridCol w:w="1636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6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0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1.17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1.19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13.1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u w:val="none"/>
                <w:shd w:val="clear" w:color="auto" w:fill="auto"/>
                <w:vertAlign w:val="baseline"/>
                <w:lang w:val="ru-RU" w:eastAsia="zh-CN" w:bidi="ar-SA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400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u w:val="none"/>
                <w:shd w:val="clear" w:color="auto" w:fill="auto"/>
                <w:vertAlign w:val="baseline"/>
                <w:lang w:val="ru-RU" w:eastAsia="zh-CN" w:bidi="ar-SA"/>
              </w:rPr>
              <w:t xml:space="preserve">1500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u w:val="none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u w:val="none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u w:val="none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13.2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u w:val="none"/>
                <w:shd w:val="clear" w:color="auto" w:fill="auto"/>
                <w:vertAlign w:val="baseline"/>
                <w:lang w:val="ru-RU" w:eastAsia="zh-CN" w:bidi="ar-SA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400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1500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3*/20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6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28" w:right="57" w:firstLine="0"/>
              <w:jc w:val="both"/>
              <w:spacing w:before="0" w:beforeAutospacing="0" w:after="0" w:afterAutospacing="0"/>
              <w:widowControl w:val="off"/>
              <w:rPr>
                <w:rFonts w:eastAsia="Calibri" w:cs="Calibri"/>
                <w:color w:val="000000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* </w:t>
            </w: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rFonts w:eastAsia="Calibri" w:cs="Calibri"/>
                <w:color w:val="000000"/>
              </w:rPr>
            </w:r>
            <w:r>
              <w:rPr>
                <w:rFonts w:eastAsia="Calibri" w:cs="Calibri"/>
                <w:color w:val="000000"/>
              </w:rPr>
            </w:r>
          </w:p>
        </w:tc>
      </w:tr>
    </w:tbl>
    <w:p>
      <w:pPr>
        <w:pStyle w:val="701"/>
        <w:jc w:val="right"/>
        <w:shd w:val="nil" w:color="ffffff" w:fill="ffffff"/>
        <w:rPr>
          <w:rFonts w:ascii="Times New Roman" w:hAnsi="Times New Roman" w:cs="Times New Roman"/>
          <w:sz w:val="30"/>
          <w:szCs w:val="30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30"/>
          <w:szCs w:val="30"/>
          <w:shd w:val="clear" w:color="auto" w:fill="auto"/>
        </w:rPr>
        <w:t xml:space="preserve">»</w:t>
      </w:r>
      <w:r>
        <w:br w:type="page" w:clear="all"/>
      </w:r>
      <w:r>
        <w:rPr>
          <w:rFonts w:ascii="Times New Roman" w:hAnsi="Times New Roman" w:cs="Times New Roman"/>
          <w:sz w:val="30"/>
          <w:szCs w:val="30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30"/>
          <w:szCs w:val="30"/>
          <w:highlight w:val="none"/>
          <w:shd w:val="clear" w:color="auto" w:fill="auto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«Статья 31. РО-1 Зона рекреационного назначения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Style w:val="749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Зона рекреационного назначения предназначена для сохранения прибрежных территорий, представляющих ценность для отдыха на открытом воздухе для размещения пляжей и объектов водного спорта.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зоне «</w:t>
      </w:r>
      <w:r>
        <w:rPr>
          <w:rStyle w:val="749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РО-1 Зона рекреационного назначения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31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31.1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площадки для занятий спортом;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водный спорт;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5.1.5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природно-познавательный туризм;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«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 w:bidi="ar-SA"/>
        </w:rPr>
        <w:t xml:space="preserve">РО-1 Зона рекреационного назначения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в таблице 31.2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31.2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3"/>
        <w:gridCol w:w="1224"/>
        <w:gridCol w:w="1101"/>
        <w:gridCol w:w="1350"/>
        <w:gridCol w:w="1825"/>
        <w:gridCol w:w="163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5.1.3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5.1.5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5.2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НПУ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2.0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32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. РО-2 Зона рекреационного назначения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ind w:left="0" w:right="-113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Зона рекреационного назначения предназначена для сохранения и развития территорий, предназначенных для занятий физической культурой.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ind w:left="0" w:right="-113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ar-SA"/>
        </w:rPr>
        <w:t xml:space="preserve">зоне «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РО-2 Зона рекреационного назначения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представлены в таблице 32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32.1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7"/>
        <w:gridCol w:w="5813"/>
        <w:gridCol w:w="201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7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9"/>
              <w:contextualSpacing/>
              <w:ind w:left="28" w:firstLine="0"/>
              <w:jc w:val="center"/>
              <w:spacing w:before="0" w:beforeAutospacing="0" w:after="0" w:afterAutospacing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keepLines w:val="0"/>
              <w:keepNext w:val="0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</w:rPr>
              <w:t xml:space="preserve">оборудованные 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9"/>
              <w:contextualSpacing/>
              <w:ind w:left="28" w:firstLine="0"/>
              <w:jc w:val="center"/>
              <w:spacing w:before="0" w:beforeAutospacing="0" w:after="0" w:afterAutospacing="0"/>
              <w:widowControl w:val="off"/>
              <w:rPr>
                <w:color w:val="auto"/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5.1.4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общее пользование водными объектами.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NSimSun" w:cs="Arial"/>
                <w:color w:val="000000"/>
                <w:sz w:val="24"/>
                <w:szCs w:val="24"/>
                <w:shd w:val="clear" w:color="auto" w:fill="auto"/>
                <w:lang w:val="ru-RU" w:eastAsia="zh-CN" w:bidi="hi-IN"/>
              </w:rPr>
              <w:t xml:space="preserve">11.1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7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 w:bidi="ar-SA"/>
        </w:rPr>
        <w:t xml:space="preserve">РО-2 Зона рекреационного назначения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32.2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32.2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5"/>
        <w:gridCol w:w="1224"/>
        <w:gridCol w:w="1099"/>
        <w:gridCol w:w="1352"/>
        <w:gridCol w:w="1825"/>
        <w:gridCol w:w="1633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5.1.3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5.1.4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2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Статья 33. Р-1 Зона рекреационного назначения - лесов и лесопарков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Style w:val="749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Зона рекреационного назначения - лесов и лесопарков предназначена для сохранения существующего природного ландшафта, зеленых насажд</w:t>
      </w:r>
      <w:r>
        <w:rPr>
          <w:rStyle w:val="749"/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ений</w:t>
      </w:r>
      <w:r>
        <w:rPr>
          <w:rStyle w:val="749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, создание комфортных условий посещения лесных территорий.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зоне «Р-1 Зона рекреационного назначения - лесов и лесопарков»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в таблице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33.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33.1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парки культуры и отдыха;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3.6.2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природно-познавательный туризм;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Р-1 Зона рекреационного назначения - лесов и лесопарков»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33.2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33.2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3"/>
        <w:gridCol w:w="1224"/>
        <w:gridCol w:w="1101"/>
        <w:gridCol w:w="1350"/>
        <w:gridCol w:w="1825"/>
        <w:gridCol w:w="163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  <w:shd w:val="clear" w:color="auto" w:fill="auto"/>
              </w:rPr>
              <w:t xml:space="preserve">3.6.2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Статья 34. Р-2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 Зона рекреационного назначения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-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 объектов отдыха, спорта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Зона рекреационного назначения - объектов отдыха, спорта предназначена для сохранения и развития территорий, пригодных для отдыха, спорта и развлечений, а также для размещения необходимых объектов инженерной и транспортной инфраструктур.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ar-SA"/>
        </w:rPr>
        <w:t xml:space="preserve">зоне «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Р-2 Зона рекреационного назначения - объектов отдыха, спорта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представлены в таблице 34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34.1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ind w:left="0" w:right="0" w:firstLine="0"/>
              <w:jc w:val="left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отдых (рекреация);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5.0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contextualSpacing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contextualSpacing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«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 w:bidi="ar-SA"/>
        </w:rPr>
        <w:t xml:space="preserve">Р-2 Зона рекреационного назначения - объектов отдыха, 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34.2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34.2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3"/>
        <w:gridCol w:w="1224"/>
        <w:gridCol w:w="1101"/>
        <w:gridCol w:w="1350"/>
        <w:gridCol w:w="1825"/>
        <w:gridCol w:w="163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5.0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35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Р-3 Зона рекреационного назначения - зеленых насаждений ВОЗ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51"/>
        <w:ind w:left="0" w:right="0" w:firstLine="709"/>
        <w:jc w:val="both"/>
        <w:keepLines w:val="0"/>
        <w:keepNext w:val="0"/>
        <w:pageBreakBefore w:val="0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</w:rPr>
      </w:pPr>
      <w:r>
        <w:rPr>
          <w:rStyle w:val="749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Зона рекреационного назначения - зеленых насаждений ВОЗ предназначена для сохранения и развития зеленых насаждений на территории водоохранных зон.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зоне «</w:t>
      </w:r>
      <w:r>
        <w:rPr>
          <w:rStyle w:val="749"/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Р-3 Зона рекреационного назначения - зеленых насаждений ВОЗ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35.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val="ru-RU" w:eastAsia="zh-CN" w:bidi="ar-SA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35.1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9"/>
        <w:gridCol w:w="5813"/>
        <w:gridCol w:w="20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restart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предоставление коммунальных услуг;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vMerge w:val="continue"/>
            <w:textDirection w:val="lrTb"/>
            <w:noWrap w:val="false"/>
          </w:tcPr>
          <w:p>
            <w:pPr>
              <w:pStyle w:val="779"/>
              <w:spacing w:before="100" w:after="100"/>
              <w:widowControl w:val="off"/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pPr>
            <w:r>
              <w:rPr>
                <w:rFonts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земельные участки (территории) общего пользования.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after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общее пользование водными объектами.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rFonts w:eastAsia="NSimSun" w:cs="Arial"/>
                <w:color w:val="000000"/>
                <w:sz w:val="24"/>
                <w:szCs w:val="24"/>
                <w:shd w:val="clear" w:color="auto" w:fill="auto"/>
                <w:lang w:val="ru-RU" w:eastAsia="zh-CN" w:bidi="hi-IN"/>
              </w:rPr>
              <w:t xml:space="preserve">11.1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9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8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Style w:val="749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ru-RU" w:bidi="ar-SA"/>
        </w:rPr>
        <w:t xml:space="preserve">Р-3 Зона рекреационного назначения зеленых - насаждений ВОЗ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ar-SA" w:bidi="ar-S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35.2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35.2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3"/>
        <w:gridCol w:w="1224"/>
        <w:gridCol w:w="1101"/>
        <w:gridCol w:w="1350"/>
        <w:gridCol w:w="1825"/>
        <w:gridCol w:w="1635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2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5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11.1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3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shd w:val="clear" w:color="auto" w:fill="auto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shd w:val="nil" w:color="ffffff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</w:r>
      <w:r>
        <w:br w:type="page" w:clear="all"/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pStyle w:val="701"/>
        <w:numPr>
          <w:ilvl w:val="0"/>
          <w:numId w:val="0"/>
        </w:numPr>
        <w:ind w:left="0" w:right="-283" w:firstLine="709"/>
        <w:jc w:val="left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Статья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36.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К-1 Зона специального назначения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numPr>
          <w:ilvl w:val="0"/>
          <w:numId w:val="0"/>
        </w:numPr>
        <w:contextualSpacing/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1"/>
        <w:ind w:left="0" w:right="0" w:firstLine="709"/>
        <w:jc w:val="both"/>
        <w:spacing w:before="0" w:beforeAutospacing="0" w:after="0" w:afterAutospacing="0" w:line="240" w:lineRule="auto"/>
        <w:widowControl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Зона специального назначения предназначена для размещения кладбищ,</w:t>
        <w:br/>
        <w:t xml:space="preserve">для которых необходима организация санитарно-защитной зоны в соответствии</w:t>
        <w:br/>
        <w:t xml:space="preserve">с требованиями технических регламентов, а также соответствующих культовых сооружений.</w:t>
      </w:r>
      <w:r/>
    </w:p>
    <w:p>
      <w:pPr>
        <w:pStyle w:val="701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К-1 Зона специального назначения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 36.1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78"/>
        <w:contextualSpacing/>
        <w:ind w:left="142" w:firstLine="567"/>
        <w:jc w:val="right"/>
        <w:spacing w:before="0" w:after="0" w:afterAutospacing="0" w:line="240" w:lineRule="auto"/>
        <w:rPr>
          <w:rFonts w:cs="Times New Roman"/>
          <w:color w:val="auto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36.1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tbl>
      <w:tblPr>
        <w:tblW w:w="10200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78"/>
        <w:gridCol w:w="5813"/>
        <w:gridCol w:w="20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7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tabs>
                <w:tab w:val="left" w:pos="675" w:leader="none"/>
                <w:tab w:val="clear" w:pos="708" w:leader="none"/>
              </w:tabs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79"/>
              <w:ind w:left="0" w:firstLine="0"/>
              <w:jc w:val="center"/>
              <w:spacing w:before="0" w:beforeAutospacing="0" w:after="0" w:afterAutospacing="0" w:line="240" w:lineRule="auto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3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hd w:val="clear" w:color="auto" w:fill="auto"/>
              </w:rPr>
              <w:t xml:space="preserve">ритуальная деятельность.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12.1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  <w:rPr>
                <w:highlight w:val="none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религиозное использование.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numPr>
                <w:ilvl w:val="0"/>
                <w:numId w:val="5"/>
              </w:numPr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3.7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3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Вспомогательные</w:t>
            </w:r>
            <w:r/>
          </w:p>
          <w:p>
            <w:pPr>
              <w:pStyle w:val="779"/>
              <w:ind w:left="28" w:right="0" w:firstLine="0"/>
              <w:jc w:val="left"/>
              <w:spacing w:before="0" w:beforeAutospacing="0" w:after="0" w:afterAutospacing="0"/>
              <w:widowControl w:val="off"/>
            </w:pPr>
            <w:r>
              <w:rPr>
                <w:sz w:val="24"/>
                <w:szCs w:val="24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813" w:type="dxa"/>
            <w:textDirection w:val="lrTb"/>
            <w:noWrap w:val="false"/>
          </w:tcPr>
          <w:p>
            <w:pPr>
              <w:pStyle w:val="779"/>
              <w:ind w:left="57" w:right="0" w:firstLine="0"/>
              <w:jc w:val="left"/>
              <w:spacing w:before="0" w:beforeAutospacing="0" w:after="0" w:afterAutospacing="0"/>
              <w:widowControl w:val="off"/>
              <w:rPr>
                <w:color w:val="auto"/>
              </w:rPr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beforeAutospacing="0" w:after="0" w:afterAutospacing="0"/>
              <w:widowControl w:val="off"/>
              <w:rPr>
                <w:color w:val="auto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01"/>
        <w:contextualSpacing/>
        <w:ind w:left="0" w:right="0" w:firstLine="708"/>
        <w:jc w:val="both"/>
        <w:spacing w:before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К-1 Зона специального назначения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» представлены в таблице в таблице 36.2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51"/>
        <w:jc w:val="right"/>
        <w:spacing w:before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Таблица 36.2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00" w:type="dxa"/>
        <w:tblInd w:w="-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1"/>
        <w:gridCol w:w="1079"/>
        <w:gridCol w:w="1084"/>
        <w:gridCol w:w="1224"/>
        <w:gridCol w:w="1100"/>
        <w:gridCol w:w="1351"/>
        <w:gridCol w:w="1825"/>
        <w:gridCol w:w="1634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Код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вида раз-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Размер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Площадь земельного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кв.м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Минималь-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ный отступ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от границ земельного участка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/>
          </w:p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Merge w:val="restart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suppressLineNumbers/>
            </w:pPr>
            <w:r>
              <w:rPr>
                <w:color w:val="000000"/>
                <w:sz w:val="24"/>
                <w:szCs w:val="24"/>
                <w:shd w:val="clear" w:color="auto" w:fill="auto"/>
              </w:rPr>
              <w:t xml:space="preserve">Максималь-ный процент застройки в границах земельного участка</w:t>
            </w:r>
            <w:r/>
          </w:p>
          <w:p>
            <w:pPr>
              <w:pStyle w:val="779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1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701"/>
              <w:spacing w:before="0" w:after="200"/>
              <w:widowControl w:val="off"/>
              <w:rPr>
                <w:color w:val="auto"/>
                <w:highlight w:val="none"/>
              </w:rPr>
            </w:pPr>
            <w:r>
              <w:rPr>
                <w:color w:val="auto"/>
              </w:rPr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hd w:val="clear" w:color="auto" w:fill="auto"/>
              </w:rPr>
              <w:t xml:space="preserve">12.1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4"/>
                <w:shd w:val="clear" w:color="auto" w:fill="auto"/>
                <w:lang w:eastAsia="zh-CN" w:bidi="ar-SA"/>
              </w:rPr>
              <w:t xml:space="preserve">100000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8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t xml:space="preserve">Условно разрешенные виды использования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t xml:space="preserve">3.7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600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НПУ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4" w:type="dxa"/>
            <w:vAlign w:val="center"/>
            <w:textDirection w:val="lrTb"/>
            <w:noWrap w:val="false"/>
          </w:tcPr>
          <w:p>
            <w:pPr>
              <w:pStyle w:val="779"/>
              <w:ind w:left="0" w:right="0" w:firstLine="0"/>
              <w:jc w:val="center"/>
              <w:spacing w:before="0" w:after="0"/>
              <w:widowControl w:val="off"/>
              <w:rPr>
                <w:highlight w:val="none"/>
              </w:rPr>
              <w:suppressLineNumbers/>
            </w:pPr>
            <w:r>
              <w:rPr>
                <w:sz w:val="24"/>
                <w:szCs w:val="24"/>
              </w:rPr>
              <w:t xml:space="preserve">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701"/>
        <w:jc w:val="right"/>
        <w:spacing w:before="0" w:after="0" w:afterAutospacing="0"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12" w:right="567" w:bottom="255" w:left="1134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XO Thames;Times New Roman">
    <w:panose1 w:val="02000603000000000000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26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02">
    <w:name w:val="Heading 1"/>
    <w:basedOn w:val="701"/>
    <w:next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8">
    <w:name w:val="Heading 7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9">
    <w:name w:val="Heading 8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0">
    <w:name w:val="Heading 9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  <w:qFormat/>
  </w:style>
  <w:style w:type="character" w:styleId="712" w:customStyle="1">
    <w:name w:val="Heading 1 Char"/>
    <w:basedOn w:val="711"/>
    <w:uiPriority w:val="9"/>
    <w:qFormat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11"/>
    <w:uiPriority w:val="9"/>
    <w:qFormat/>
    <w:rPr>
      <w:rFonts w:ascii="Arial" w:hAnsi="Arial" w:eastAsia="Arial" w:cs="Arial"/>
      <w:sz w:val="34"/>
    </w:rPr>
  </w:style>
  <w:style w:type="character" w:styleId="714" w:customStyle="1">
    <w:name w:val="Heading 3 Char"/>
    <w:basedOn w:val="711"/>
    <w:uiPriority w:val="9"/>
    <w:qFormat/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71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71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71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71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1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71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711"/>
    <w:uiPriority w:val="10"/>
    <w:qFormat/>
    <w:rPr>
      <w:sz w:val="48"/>
      <w:szCs w:val="48"/>
    </w:rPr>
  </w:style>
  <w:style w:type="character" w:styleId="722" w:customStyle="1">
    <w:name w:val="Subtitle Char"/>
    <w:basedOn w:val="711"/>
    <w:uiPriority w:val="11"/>
    <w:qFormat/>
    <w:rPr>
      <w:sz w:val="24"/>
      <w:szCs w:val="24"/>
    </w:rPr>
  </w:style>
  <w:style w:type="character" w:styleId="723" w:customStyle="1">
    <w:name w:val="Quote Char"/>
    <w:uiPriority w:val="29"/>
    <w:qFormat/>
    <w:rPr>
      <w:i/>
    </w:rPr>
  </w:style>
  <w:style w:type="character" w:styleId="724" w:customStyle="1">
    <w:name w:val="Intense Quote Char"/>
    <w:uiPriority w:val="30"/>
    <w:qFormat/>
    <w:rPr>
      <w:i/>
    </w:rPr>
  </w:style>
  <w:style w:type="character" w:styleId="725" w:customStyle="1">
    <w:name w:val="Header Char"/>
    <w:basedOn w:val="711"/>
    <w:uiPriority w:val="99"/>
    <w:qFormat/>
  </w:style>
  <w:style w:type="character" w:styleId="726" w:customStyle="1">
    <w:name w:val="Footer Char"/>
    <w:basedOn w:val="711"/>
    <w:uiPriority w:val="99"/>
    <w:qFormat/>
  </w:style>
  <w:style w:type="character" w:styleId="727" w:customStyle="1">
    <w:name w:val="Caption Char"/>
    <w:basedOn w:val="711"/>
    <w:uiPriority w:val="35"/>
    <w:qFormat/>
    <w:rPr>
      <w:b/>
      <w:bCs/>
      <w:color w:val="5b9bd5" w:themeColor="accent1"/>
      <w:sz w:val="18"/>
      <w:szCs w:val="18"/>
    </w:rPr>
  </w:style>
  <w:style w:type="character" w:styleId="728" w:customStyle="1">
    <w:name w:val="Footnote Text Char"/>
    <w:uiPriority w:val="99"/>
    <w:qFormat/>
    <w:rPr>
      <w:sz w:val="18"/>
    </w:rPr>
  </w:style>
  <w:style w:type="character" w:styleId="729" w:customStyle="1">
    <w:name w:val="Endnote Text Char"/>
    <w:uiPriority w:val="99"/>
    <w:qFormat/>
    <w:rPr>
      <w:sz w:val="20"/>
    </w:rPr>
  </w:style>
  <w:style w:type="character" w:styleId="730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3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Заголовок Знак"/>
    <w:uiPriority w:val="10"/>
    <w:qFormat/>
    <w:rPr>
      <w:sz w:val="48"/>
      <w:szCs w:val="48"/>
    </w:rPr>
  </w:style>
  <w:style w:type="character" w:styleId="736" w:customStyle="1">
    <w:name w:val="Подзаголовок Знак"/>
    <w:uiPriority w:val="11"/>
    <w:qFormat/>
    <w:rPr>
      <w:sz w:val="24"/>
      <w:szCs w:val="24"/>
    </w:rPr>
  </w:style>
  <w:style w:type="character" w:styleId="737" w:customStyle="1">
    <w:name w:val="Цитата 2 Знак"/>
    <w:link w:val="758"/>
    <w:uiPriority w:val="29"/>
    <w:qFormat/>
    <w:rPr>
      <w:i/>
    </w:rPr>
  </w:style>
  <w:style w:type="character" w:styleId="738" w:customStyle="1">
    <w:name w:val="Выделенная цитата Знак"/>
    <w:link w:val="759"/>
    <w:uiPriority w:val="30"/>
    <w:qFormat/>
    <w:rPr>
      <w:i/>
    </w:rPr>
  </w:style>
  <w:style w:type="character" w:styleId="739" w:customStyle="1">
    <w:name w:val="Верхний колонтитул Знак"/>
    <w:uiPriority w:val="99"/>
    <w:qFormat/>
  </w:style>
  <w:style w:type="character" w:styleId="740" w:customStyle="1">
    <w:name w:val="Нижний колонтитул Знак"/>
    <w:uiPriority w:val="99"/>
    <w:qFormat/>
  </w:style>
  <w:style w:type="character" w:styleId="741" w:customStyle="1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styleId="742">
    <w:name w:val="Hyperlink"/>
    <w:uiPriority w:val="99"/>
    <w:unhideWhenUsed/>
    <w:rPr>
      <w:color w:val="0563c1" w:themeColor="hyperlink"/>
      <w:u w:val="single"/>
    </w:rPr>
  </w:style>
  <w:style w:type="character" w:styleId="743" w:customStyle="1">
    <w:name w:val="Текст сноски Знак"/>
    <w:uiPriority w:val="99"/>
    <w:qFormat/>
    <w:rPr>
      <w:sz w:val="18"/>
    </w:rPr>
  </w:style>
  <w:style w:type="character" w:styleId="744">
    <w:name w:val="Символ сноски"/>
    <w:uiPriority w:val="99"/>
    <w:unhideWhenUsed/>
    <w:qFormat/>
    <w:rPr>
      <w:vertAlign w:val="superscript"/>
    </w:rPr>
  </w:style>
  <w:style w:type="character" w:styleId="745">
    <w:name w:val="footnote reference"/>
    <w:rPr>
      <w:vertAlign w:val="superscript"/>
    </w:rPr>
  </w:style>
  <w:style w:type="character" w:styleId="746" w:customStyle="1">
    <w:name w:val="Текст концевой сноски Знак"/>
    <w:uiPriority w:val="99"/>
    <w:qFormat/>
    <w:rPr>
      <w:sz w:val="20"/>
    </w:rPr>
  </w:style>
  <w:style w:type="character" w:styleId="74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48">
    <w:name w:val="endnote reference"/>
    <w:rPr>
      <w:vertAlign w:val="superscript"/>
    </w:rPr>
  </w:style>
  <w:style w:type="character" w:styleId="749" w:customStyle="1">
    <w:name w:val="Основной шрифт абзаца2"/>
    <w:qFormat/>
  </w:style>
  <w:style w:type="paragraph" w:styleId="750">
    <w:name w:val="Заголовок"/>
    <w:basedOn w:val="701"/>
    <w:next w:val="75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51">
    <w:name w:val="Body Text"/>
    <w:basedOn w:val="701"/>
    <w:pPr>
      <w:spacing w:before="0" w:after="140" w:line="276" w:lineRule="auto"/>
    </w:pPr>
  </w:style>
  <w:style w:type="paragraph" w:styleId="752">
    <w:name w:val="List"/>
    <w:basedOn w:val="751"/>
    <w:rPr>
      <w:rFonts w:cs="Arial"/>
    </w:rPr>
  </w:style>
  <w:style w:type="paragraph" w:styleId="753">
    <w:name w:val="Caption"/>
    <w:basedOn w:val="701"/>
    <w:next w:val="701"/>
    <w:link w:val="74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54">
    <w:name w:val="Указатель"/>
    <w:basedOn w:val="701"/>
    <w:qFormat/>
    <w:pPr>
      <w:suppressLineNumbers/>
    </w:pPr>
    <w:rPr>
      <w:rFonts w:cs="Arial"/>
    </w:rPr>
  </w:style>
  <w:style w:type="paragraph" w:styleId="755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756">
    <w:name w:val="Title"/>
    <w:basedOn w:val="701"/>
    <w:next w:val="701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7">
    <w:name w:val="Subtitle"/>
    <w:basedOn w:val="701"/>
    <w:next w:val="701"/>
    <w:link w:val="736"/>
    <w:uiPriority w:val="11"/>
    <w:qFormat/>
    <w:pPr>
      <w:spacing w:before="200" w:after="200"/>
    </w:pPr>
    <w:rPr>
      <w:sz w:val="24"/>
      <w:szCs w:val="24"/>
    </w:rPr>
  </w:style>
  <w:style w:type="paragraph" w:styleId="758">
    <w:name w:val="Quote"/>
    <w:basedOn w:val="701"/>
    <w:next w:val="701"/>
    <w:link w:val="737"/>
    <w:uiPriority w:val="29"/>
    <w:qFormat/>
    <w:pPr>
      <w:ind w:left="720" w:right="720" w:firstLine="0"/>
    </w:pPr>
    <w:rPr>
      <w:i/>
    </w:rPr>
  </w:style>
  <w:style w:type="paragraph" w:styleId="759">
    <w:name w:val="Intense Quote"/>
    <w:basedOn w:val="701"/>
    <w:next w:val="701"/>
    <w:link w:val="738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0">
    <w:name w:val="Колонтитул"/>
    <w:basedOn w:val="701"/>
    <w:qFormat/>
  </w:style>
  <w:style w:type="paragraph" w:styleId="761">
    <w:name w:val="Header"/>
    <w:basedOn w:val="701"/>
    <w:link w:val="73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62">
    <w:name w:val="Footer"/>
    <w:basedOn w:val="701"/>
    <w:link w:val="74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63">
    <w:name w:val="footnote text"/>
    <w:basedOn w:val="701"/>
    <w:link w:val="74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4">
    <w:name w:val="endnote text"/>
    <w:basedOn w:val="701"/>
    <w:link w:val="74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65">
    <w:name w:val="toc 1"/>
    <w:basedOn w:val="701"/>
    <w:next w:val="701"/>
    <w:uiPriority w:val="39"/>
    <w:unhideWhenUsed/>
    <w:pPr>
      <w:spacing w:before="0" w:after="57"/>
    </w:pPr>
  </w:style>
  <w:style w:type="paragraph" w:styleId="766">
    <w:name w:val="toc 3"/>
    <w:basedOn w:val="701"/>
    <w:next w:val="701"/>
    <w:uiPriority w:val="39"/>
    <w:unhideWhenUsed/>
    <w:pPr>
      <w:ind w:left="567" w:firstLine="0"/>
      <w:spacing w:before="0" w:after="57"/>
    </w:pPr>
  </w:style>
  <w:style w:type="paragraph" w:styleId="767">
    <w:name w:val="toc 4"/>
    <w:basedOn w:val="701"/>
    <w:next w:val="701"/>
    <w:uiPriority w:val="39"/>
    <w:unhideWhenUsed/>
    <w:pPr>
      <w:ind w:left="850" w:firstLine="0"/>
      <w:spacing w:before="0" w:after="57"/>
    </w:pPr>
  </w:style>
  <w:style w:type="paragraph" w:styleId="768">
    <w:name w:val="toc 5"/>
    <w:basedOn w:val="701"/>
    <w:next w:val="701"/>
    <w:uiPriority w:val="39"/>
    <w:unhideWhenUsed/>
    <w:pPr>
      <w:ind w:left="1134" w:firstLine="0"/>
      <w:spacing w:before="0" w:after="57"/>
    </w:pPr>
  </w:style>
  <w:style w:type="paragraph" w:styleId="769">
    <w:name w:val="toc 6"/>
    <w:basedOn w:val="701"/>
    <w:next w:val="701"/>
    <w:uiPriority w:val="39"/>
    <w:unhideWhenUsed/>
    <w:pPr>
      <w:ind w:left="1417" w:firstLine="0"/>
      <w:spacing w:before="0" w:after="57"/>
    </w:pPr>
  </w:style>
  <w:style w:type="paragraph" w:styleId="770">
    <w:name w:val="toc 7"/>
    <w:basedOn w:val="701"/>
    <w:next w:val="701"/>
    <w:uiPriority w:val="39"/>
    <w:unhideWhenUsed/>
    <w:pPr>
      <w:ind w:left="1701" w:firstLine="0"/>
      <w:spacing w:before="0" w:after="57"/>
    </w:pPr>
  </w:style>
  <w:style w:type="paragraph" w:styleId="771">
    <w:name w:val="toc 8"/>
    <w:basedOn w:val="701"/>
    <w:next w:val="701"/>
    <w:uiPriority w:val="39"/>
    <w:unhideWhenUsed/>
    <w:pPr>
      <w:ind w:left="1984" w:firstLine="0"/>
      <w:spacing w:before="0" w:after="57"/>
    </w:pPr>
  </w:style>
  <w:style w:type="paragraph" w:styleId="772">
    <w:name w:val="toc 9"/>
    <w:basedOn w:val="701"/>
    <w:next w:val="701"/>
    <w:uiPriority w:val="39"/>
    <w:unhideWhenUsed/>
    <w:pPr>
      <w:ind w:left="2268" w:firstLine="0"/>
      <w:spacing w:before="0" w:after="57"/>
    </w:pPr>
  </w:style>
  <w:style w:type="paragraph" w:styleId="773">
    <w:name w:val="Index Heading"/>
    <w:basedOn w:val="750"/>
  </w:style>
  <w:style w:type="paragraph" w:styleId="774">
    <w:name w:val="TOC Heading"/>
    <w:uiPriority w:val="39"/>
    <w:unhideWhenUsed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75">
    <w:name w:val="table of figures"/>
    <w:basedOn w:val="701"/>
    <w:next w:val="701"/>
    <w:uiPriority w:val="99"/>
    <w:unhideWhenUsed/>
    <w:qFormat/>
    <w:pPr>
      <w:spacing w:before="0" w:after="0"/>
    </w:pPr>
  </w:style>
  <w:style w:type="paragraph" w:styleId="776">
    <w:name w:val="No Spacing"/>
    <w:basedOn w:val="701"/>
    <w:uiPriority w:val="1"/>
    <w:qFormat/>
    <w:pPr>
      <w:spacing w:before="0" w:after="0" w:line="240" w:lineRule="auto"/>
    </w:pPr>
  </w:style>
  <w:style w:type="paragraph" w:styleId="777">
    <w:name w:val="List Paragraph"/>
    <w:basedOn w:val="701"/>
    <w:uiPriority w:val="34"/>
    <w:qFormat/>
    <w:pPr>
      <w:contextualSpacing/>
      <w:ind w:left="720" w:firstLine="0"/>
      <w:spacing w:before="0" w:after="200"/>
    </w:pPr>
  </w:style>
  <w:style w:type="paragraph" w:styleId="778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79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paragraph" w:styleId="780">
    <w:name w:val="Заголовок таблицы"/>
    <w:basedOn w:val="779"/>
    <w:qFormat/>
    <w:pPr>
      <w:jc w:val="center"/>
      <w:suppressLineNumbers/>
    </w:pPr>
    <w:rPr>
      <w:b/>
      <w:bCs/>
    </w:rPr>
  </w:style>
  <w:style w:type="numbering" w:styleId="781" w:default="1">
    <w:name w:val="No List"/>
    <w:uiPriority w:val="99"/>
    <w:semiHidden/>
    <w:unhideWhenUsed/>
    <w:qFormat/>
  </w:style>
  <w:style w:type="table" w:styleId="78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"/>
    <w:basedOn w:val="7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4" w:customStyle="1">
    <w:name w:val="Table Grid Light"/>
    <w:basedOn w:val="7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6">
    <w:name w:val="Plain Table 2"/>
    <w:basedOn w:val="7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7">
    <w:name w:val="Plain Table 3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813" w:customStyle="1">
    <w:name w:val="Grid Table 4 - Accent 2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814" w:customStyle="1">
    <w:name w:val="Grid Table 4 - Accent 3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15" w:customStyle="1">
    <w:name w:val="Grid Table 4 - Accent 4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816" w:customStyle="1">
    <w:name w:val="Grid Table 4 - Accent 5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7" w:customStyle="1">
    <w:name w:val="Grid Table 4 - Accent 6"/>
    <w:basedOn w:val="7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8">
    <w:name w:val="Grid Table 5 Dark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7" w:customStyle="1">
    <w:name w:val="Grid Table 6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8" w:customStyle="1">
    <w:name w:val="Grid Table 6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9" w:customStyle="1">
    <w:name w:val="Grid Table 6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0" w:customStyle="1">
    <w:name w:val="Grid Table 6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 w:customStyle="1">
    <w:name w:val="Grid Table 6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>
    <w:name w:val="Grid Table 7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53">
    <w:name w:val="List Table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4">
    <w:name w:val="List Table 6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75" w:customStyle="1">
    <w:name w:val="List Table 6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6" w:customStyle="1">
    <w:name w:val="List Table 6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77" w:customStyle="1">
    <w:name w:val="List Table 6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78" w:customStyle="1">
    <w:name w:val="List Table 6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79" w:customStyle="1">
    <w:name w:val="List Table 6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80" w:customStyle="1">
    <w:name w:val="List Table 6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81">
    <w:name w:val="List Table 7 Colorful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ned - Accent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9" w:customStyle="1">
    <w:name w:val="Lined - Accent 1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90" w:customStyle="1">
    <w:name w:val="Lined - Accent 2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91" w:customStyle="1">
    <w:name w:val="Lined - Accent 3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92" w:customStyle="1">
    <w:name w:val="Lined - Accent 4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93" w:customStyle="1">
    <w:name w:val="Lined - Accent 5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94" w:customStyle="1">
    <w:name w:val="Lined - Accent 6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95" w:customStyle="1">
    <w:name w:val="Bordered &amp; Lined - Accent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96" w:customStyle="1">
    <w:name w:val="Bordered &amp; Lined - Accent 1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97" w:customStyle="1">
    <w:name w:val="Bordered &amp; Lined - Accent 2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98" w:customStyle="1">
    <w:name w:val="Bordered &amp; Lined - Accent 3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99" w:customStyle="1">
    <w:name w:val="Bordered &amp; Lined - Accent 4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900" w:customStyle="1">
    <w:name w:val="Bordered &amp; Lined - Accent 5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901" w:customStyle="1">
    <w:name w:val="Bordered &amp; Lined - Accent 6"/>
    <w:basedOn w:val="7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902" w:customStyle="1">
    <w:name w:val="Bordered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03" w:customStyle="1">
    <w:name w:val="Bordered - Accent 1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4" w:customStyle="1">
    <w:name w:val="Bordered - Accent 2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905" w:customStyle="1">
    <w:name w:val="Bordered - Accent 3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906" w:customStyle="1">
    <w:name w:val="Bordered - Accent 4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907" w:customStyle="1">
    <w:name w:val="Bordered - Accent 5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908" w:customStyle="1">
    <w:name w:val="Bordered - Accent 6"/>
    <w:basedOn w:val="7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login.consultant.ru/link/?req=doc&amp;base=LAW&amp;n=477365&amp;dst=100138" TargetMode="External"/><Relationship Id="rId13" Type="http://schemas.openxmlformats.org/officeDocument/2006/relationships/hyperlink" Target="https://login.consultant.ru/link/?req=doc&amp;base=LAW&amp;n=477365&amp;dst=100139" TargetMode="External"/><Relationship Id="rId14" Type="http://schemas.openxmlformats.org/officeDocument/2006/relationships/hyperlink" Target="https://login.consultant.ru/link/?req=doc&amp;base=LAW&amp;n=477365&amp;dst=100138" TargetMode="External"/><Relationship Id="rId15" Type="http://schemas.openxmlformats.org/officeDocument/2006/relationships/hyperlink" Target="https://login.consultant.ru/link/?req=doc&amp;base=LAW&amp;n=477365&amp;dst=100139" TargetMode="External"/><Relationship Id="rId16" Type="http://schemas.openxmlformats.org/officeDocument/2006/relationships/hyperlink" Target="http://15.01.1993/" TargetMode="External"/><Relationship Id="rId17" Type="http://schemas.openxmlformats.org/officeDocument/2006/relationships/hyperlink" Target="https://login.consultant.ru/link/?req=doc&amp;base=LAW&amp;n=477365&amp;dst=100138" TargetMode="External"/><Relationship Id="rId18" Type="http://schemas.openxmlformats.org/officeDocument/2006/relationships/hyperlink" Target="https://login.consultant.ru/link/?req=doc&amp;base=LAW&amp;n=477365&amp;dst=100139" TargetMode="External"/><Relationship Id="rId19" Type="http://schemas.openxmlformats.org/officeDocument/2006/relationships/hyperlink" Target="https://login.consultant.ru/link/?req=doc&amp;base=LAW&amp;n=477365&amp;dst=100138" TargetMode="External"/><Relationship Id="rId20" Type="http://schemas.openxmlformats.org/officeDocument/2006/relationships/hyperlink" Target="https://login.consultant.ru/link/?req=doc&amp;base=LAW&amp;n=477365&amp;dst=100139" TargetMode="External"/><Relationship Id="rId21" Type="http://schemas.openxmlformats.org/officeDocument/2006/relationships/hyperlink" Target="http://15.01.1993/" TargetMode="External"/><Relationship Id="rId22" Type="http://schemas.openxmlformats.org/officeDocument/2006/relationships/hyperlink" Target="https://login.consultant.ru/link/?req=doc&amp;base=LAW&amp;n=477365&amp;dst=100138" TargetMode="External"/><Relationship Id="rId23" Type="http://schemas.openxmlformats.org/officeDocument/2006/relationships/hyperlink" Target="https://login.consultant.ru/link/?req=doc&amp;base=LAW&amp;n=477365&amp;dst=100139" TargetMode="External"/><Relationship Id="rId24" Type="http://schemas.openxmlformats.org/officeDocument/2006/relationships/hyperlink" Target="https://login.consultant.ru/link/?req=doc&amp;base=LAW&amp;n=477365&amp;dst=100138" TargetMode="External"/><Relationship Id="rId25" Type="http://schemas.openxmlformats.org/officeDocument/2006/relationships/hyperlink" Target="https://login.consultant.ru/link/?req=doc&amp;base=LAW&amp;n=477365&amp;dst=100139" TargetMode="External"/><Relationship Id="rId26" Type="http://schemas.openxmlformats.org/officeDocument/2006/relationships/hyperlink" Target="http://15.01.199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28</cp:revision>
  <dcterms:created xsi:type="dcterms:W3CDTF">2025-06-18T16:22:00Z</dcterms:created>
  <dcterms:modified xsi:type="dcterms:W3CDTF">2026-02-03T14:18:20Z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