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677"/>
        <w:ind w:left="-567" w:right="-285" w:firstLine="567"/>
        <w:jc w:val="center"/>
        <w:spacing w:line="259" w:lineRule="auto"/>
        <w:rPr>
          <w:rFonts w:eastAsia="Calibri"/>
          <w:sz w:val="26"/>
          <w:szCs w:val="26"/>
          <w:highlight w:val="none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highlight w:val="none"/>
          <w:lang w:eastAsia="en-US"/>
        </w:rPr>
      </w:r>
      <w:r>
        <w:rPr>
          <w:rFonts w:eastAsia="Calibri"/>
          <w:sz w:val="26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1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1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.03.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2026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br/>
        <w:t xml:space="preserve">№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114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генеральный план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Лакашинское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Лакашинское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Шабурова А.Ю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.</w:t>
      </w:r>
      <w:r>
        <w:rPr>
          <w:sz w:val="27"/>
        </w:rPr>
      </w:r>
      <w:r/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7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left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«16» марта 2026 г. </w:t>
        <w:br/>
        <w:t xml:space="preserve">по «01» апреля 2026 г.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17.0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3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.2026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Проект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Лакашинское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17.03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Спасском муниципальном округе Рязанской области:</w:t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color w:val="000000"/>
          <w:sz w:val="28"/>
          <w:szCs w:val="28"/>
          <w:shd w:val="clear" w:color="ffffff" w:fill="ffffff"/>
        </w:rPr>
        <w:t xml:space="preserve">с. </w:t>
      </w:r>
      <w:r>
        <w:rPr>
          <w:rFonts w:eastAsia="Times New Roman" w:cs="PT Astra Serif"/>
          <w:color w:val="000000"/>
          <w:sz w:val="28"/>
          <w:szCs w:val="28"/>
          <w:shd w:val="clear" w:color="ffffff" w:fill="ffffff"/>
          <w:lang w:val="ru-RU" w:eastAsia="zh-CN" w:bidi="ar-SA"/>
        </w:rPr>
        <w:t xml:space="preserve">Городковичи,</w:t>
      </w:r>
      <w:r>
        <w:rPr>
          <w:rFonts w:cs="PT Astra Serif"/>
          <w:color w:val="000000"/>
          <w:sz w:val="28"/>
          <w:szCs w:val="28"/>
          <w:shd w:val="clear" w:color="ffffff" w:fill="ffffff"/>
        </w:rPr>
        <w:t xml:space="preserve"> ул. Центральная (около </w:t>
      </w:r>
      <w:r>
        <w:rPr>
          <w:rFonts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  <w:lang w:val="ru-RU" w:eastAsia="zh-CN" w:bidi="ar-SA"/>
        </w:rPr>
        <w:t xml:space="preserve">112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«17»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11:10 час. «25» марта 2026 г.);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sz w:val="27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</w:rPr>
        <w:t xml:space="preserve">с. Лакаш, ул. Синицина, д. 24</w:t>
      </w:r>
      <w:r>
        <w:rPr>
          <w:rFonts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</w:rPr>
        <w:t xml:space="preserve"> в </w:t>
      </w:r>
      <w:r>
        <w:rPr>
          <w:rFonts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</w:rPr>
        <w:t xml:space="preserve">администра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тивном </w:t>
      </w:r>
      <w:r>
        <w:rPr>
          <w:rFonts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</w:rPr>
        <w:t xml:space="preserve">здании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«17»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11:35 час. «25» марта 2026 г.</w:t>
      </w:r>
      <w:r>
        <w:rPr>
          <w:sz w:val="27"/>
        </w:rPr>
        <w:t xml:space="preserve">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Орехово, ул. Центральная (около д. 40)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«17» марта </w:t>
        <w:br/>
        <w:t xml:space="preserve">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12:00 час. «25» марта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Добрянка (около д. 42)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«17»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br/>
        <w:t xml:space="preserve">по 12:25 час. «25» марта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Папушево ул. Дачная (около д. 35)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«17»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12:40 час. «25» марта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п. Брыкин Бор д. 51 в административном здании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«17» марта </w:t>
        <w:br/>
        <w:t xml:space="preserve">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13:00 час. «23» марта 2026 г.)</w:t>
      </w:r>
      <w:r>
        <w:rPr>
          <w:sz w:val="27"/>
          <w:szCs w:val="27"/>
        </w:rPr>
        <w:t xml:space="preserve">.</w:t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25.03.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11:00 час. по 11:10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</w:t>
        <w:br/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с. Городковичи, ул. Центральная (около д. 112)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/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11:15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11:35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Лакаш, ул. Синицина, д. 24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highlight w:val="none"/>
          <w:lang w:eastAsia="en-US"/>
        </w:rPr>
        <w:t xml:space="preserve"> 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11:50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12:00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Орехово, ул. Центральная (около д. 40)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12:15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12:25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д. Добрянка (около д. 42)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12:30 час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12:40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д. Папушево, ул. Дачная (около д. 35)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с. 12:50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13:00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t xml:space="preserve">п. Брыкин Бор, д. 51 в административном здании</w:t>
      </w:r>
      <w:r>
        <w:rPr>
          <w:highlight w:val="none"/>
        </w:rPr>
        <w:t xml:space="preserve">.</w:t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«25»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«25»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«25» марта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«25»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highlight w:val="none"/>
      </w:rPr>
    </w:pPr>
    <w:r>
      <w:rPr>
        <w:highlight w:val="none"/>
      </w:rPr>
    </w:r>
    <w:r/>
  </w:p>
  <w:p>
    <w:pPr>
      <w:pStyle w:val="908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table of figures"/>
    <w:basedOn w:val="677"/>
    <w:next w:val="677"/>
    <w:uiPriority w:val="99"/>
    <w:unhideWhenUsed/>
    <w:pPr>
      <w:spacing w:after="0" w:afterAutospacing="0"/>
    </w:pPr>
  </w:style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3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4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5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6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7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8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899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0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1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2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3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4">
    <w:name w:val="index heading"/>
    <w:basedOn w:val="677"/>
    <w:qFormat/>
    <w:pPr>
      <w:suppressLineNumbers/>
    </w:pPr>
    <w:rPr>
      <w:rFonts w:ascii="PT Sans" w:hAnsi="PT Sans"/>
    </w:rPr>
  </w:style>
  <w:style w:type="paragraph" w:styleId="905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7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8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1">
    <w:name w:val="Body Text Indent"/>
    <w:basedOn w:val="677"/>
    <w:pPr>
      <w:ind w:firstLine="708"/>
      <w:jc w:val="both"/>
    </w:pPr>
    <w:rPr>
      <w:sz w:val="28"/>
    </w:rPr>
  </w:style>
  <w:style w:type="paragraph" w:styleId="912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5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6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7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8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9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9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0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2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3" w:customStyle="1">
    <w:name w:val="Содержимое таблицы"/>
    <w:basedOn w:val="677"/>
    <w:qFormat/>
    <w:pPr>
      <w:suppressLineNumbers/>
    </w:pPr>
  </w:style>
  <w:style w:type="paragraph" w:styleId="934" w:customStyle="1">
    <w:name w:val="Заголовок таблицы"/>
    <w:basedOn w:val="933"/>
    <w:qFormat/>
    <w:pPr>
      <w:jc w:val="center"/>
    </w:pPr>
    <w:rPr>
      <w:b/>
      <w:bCs/>
    </w:rPr>
  </w:style>
  <w:style w:type="paragraph" w:styleId="935">
    <w:name w:val="endnote text"/>
    <w:basedOn w:val="677"/>
    <w:rPr>
      <w:sz w:val="20"/>
    </w:rPr>
  </w:style>
  <w:style w:type="paragraph" w:styleId="936">
    <w:name w:val="Normal (Web)"/>
    <w:basedOn w:val="677"/>
    <w:qFormat/>
    <w:pPr>
      <w:spacing w:before="280" w:after="280"/>
    </w:pPr>
    <w:rPr>
      <w:lang w:eastAsia="ar-SA"/>
    </w:rPr>
  </w:style>
  <w:style w:type="paragraph" w:styleId="937" w:customStyle="1">
    <w:name w:val="Исполнитель документа"/>
    <w:basedOn w:val="677"/>
    <w:qFormat/>
  </w:style>
  <w:style w:type="paragraph" w:styleId="938" w:customStyle="1">
    <w:name w:val="Гриф_Экземпляр"/>
    <w:basedOn w:val="677"/>
    <w:qFormat/>
  </w:style>
  <w:style w:type="paragraph" w:styleId="939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0">
    <w:name w:val="Body Text 2"/>
    <w:basedOn w:val="677"/>
    <w:qFormat/>
    <w:pPr>
      <w:jc w:val="both"/>
    </w:pPr>
    <w:rPr>
      <w:sz w:val="28"/>
    </w:rPr>
  </w:style>
  <w:style w:type="paragraph" w:styleId="941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4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5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6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7" w:customStyle="1">
    <w:name w:val="Указатель4"/>
    <w:basedOn w:val="677"/>
    <w:qFormat/>
    <w:rPr>
      <w:lang w:eastAsia="ar-SA"/>
    </w:rPr>
  </w:style>
  <w:style w:type="paragraph" w:styleId="948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49" w:customStyle="1">
    <w:name w:val="Указатель3"/>
    <w:basedOn w:val="677"/>
    <w:qFormat/>
    <w:rPr>
      <w:lang w:eastAsia="ar-SA"/>
    </w:rPr>
  </w:style>
  <w:style w:type="paragraph" w:styleId="950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1" w:customStyle="1">
    <w:name w:val="Указатель2"/>
    <w:basedOn w:val="677"/>
    <w:qFormat/>
    <w:rPr>
      <w:lang w:eastAsia="ar-SA"/>
    </w:rPr>
  </w:style>
  <w:style w:type="paragraph" w:styleId="952" w:customStyle="1">
    <w:name w:val="Основной текст 23"/>
    <w:basedOn w:val="677"/>
    <w:qFormat/>
    <w:pPr>
      <w:jc w:val="both"/>
    </w:pPr>
    <w:rPr>
      <w:sz w:val="28"/>
    </w:rPr>
  </w:style>
  <w:style w:type="paragraph" w:styleId="953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4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5">
    <w:name w:val="Quote"/>
    <w:basedOn w:val="677"/>
    <w:qFormat/>
    <w:pPr>
      <w:ind w:left="720" w:right="720" w:firstLine="0"/>
    </w:pPr>
    <w:rPr>
      <w:i/>
    </w:rPr>
  </w:style>
  <w:style w:type="numbering" w:styleId="956" w:default="1">
    <w:name w:val="No List"/>
    <w:uiPriority w:val="99"/>
    <w:semiHidden/>
    <w:unhideWhenUsed/>
    <w:qFormat/>
  </w:style>
  <w:style w:type="table" w:styleId="957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6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7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8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9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8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9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0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1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2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3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0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1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2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3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4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5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6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8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0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1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2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3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4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5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6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7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8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9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0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1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2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3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4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5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6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7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8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9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0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1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2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3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4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5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6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8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9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0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1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3">
    <w:name w:val="Table Grid"/>
    <w:basedOn w:val="10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4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 w:fill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84</cp:revision>
  <dcterms:created xsi:type="dcterms:W3CDTF">2024-05-31T06:53:00Z</dcterms:created>
  <dcterms:modified xsi:type="dcterms:W3CDTF">2026-03-13T08:56:36Z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