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</w:tr>
      <w:tr w:rsidR="00D235F7" w:rsidRPr="00F16284">
        <w:tc>
          <w:tcPr>
            <w:tcW w:w="5428" w:type="dxa"/>
          </w:tcPr>
          <w:p w:rsidR="00D235F7" w:rsidRPr="00F16284" w:rsidRDefault="00D235F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35F7" w:rsidRPr="00F16284" w:rsidRDefault="00D235F7" w:rsidP="00D235F7">
            <w:pPr>
              <w:rPr>
                <w:rFonts w:ascii="Times New Roman" w:hAnsi="Times New Roman"/>
                <w:sz w:val="28"/>
                <w:szCs w:val="28"/>
              </w:rPr>
            </w:pPr>
            <w:r w:rsidRPr="00D00552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0552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D235F7" w:rsidRPr="00F16284">
        <w:tc>
          <w:tcPr>
            <w:tcW w:w="5428" w:type="dxa"/>
          </w:tcPr>
          <w:p w:rsidR="00D235F7" w:rsidRPr="00F16284" w:rsidRDefault="00D235F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35F7" w:rsidRPr="00D00552" w:rsidRDefault="003F4248" w:rsidP="00D23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18.03.2026 № 76</w:t>
            </w:r>
            <w:bookmarkStart w:id="0" w:name="_GoBack"/>
            <w:bookmarkEnd w:id="0"/>
          </w:p>
        </w:tc>
      </w:tr>
      <w:tr w:rsidR="00D235F7" w:rsidRPr="00F16284">
        <w:tc>
          <w:tcPr>
            <w:tcW w:w="5428" w:type="dxa"/>
          </w:tcPr>
          <w:p w:rsidR="00D235F7" w:rsidRPr="00F16284" w:rsidRDefault="00D235F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35F7" w:rsidRPr="00D00552" w:rsidRDefault="00D235F7" w:rsidP="00D235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5F7" w:rsidRPr="00F16284">
        <w:tc>
          <w:tcPr>
            <w:tcW w:w="5428" w:type="dxa"/>
          </w:tcPr>
          <w:p w:rsidR="00D235F7" w:rsidRPr="00F16284" w:rsidRDefault="00D235F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35F7" w:rsidRPr="00D00552" w:rsidRDefault="00D235F7" w:rsidP="00D235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5F7" w:rsidRPr="00F16284">
        <w:tc>
          <w:tcPr>
            <w:tcW w:w="5428" w:type="dxa"/>
          </w:tcPr>
          <w:p w:rsidR="00D235F7" w:rsidRPr="00F16284" w:rsidRDefault="00D235F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35F7" w:rsidRPr="00D00552" w:rsidRDefault="00D235F7" w:rsidP="00D235F7">
            <w:pPr>
              <w:rPr>
                <w:rFonts w:ascii="Times New Roman" w:hAnsi="Times New Roman"/>
                <w:sz w:val="28"/>
                <w:szCs w:val="28"/>
              </w:rPr>
            </w:pPr>
            <w:r w:rsidRPr="00D00552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D235F7" w:rsidRPr="00D00552" w:rsidRDefault="00D235F7" w:rsidP="00D235F7">
            <w:pPr>
              <w:rPr>
                <w:rFonts w:ascii="Times New Roman" w:hAnsi="Times New Roman"/>
                <w:sz w:val="28"/>
                <w:szCs w:val="28"/>
              </w:rPr>
            </w:pPr>
            <w:r w:rsidRPr="00D00552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0552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D235F7" w:rsidRPr="00202786" w:rsidRDefault="00D235F7" w:rsidP="00D235F7">
            <w:pPr>
              <w:rPr>
                <w:rFonts w:ascii="Times New Roman" w:hAnsi="Times New Roman"/>
                <w:sz w:val="28"/>
                <w:szCs w:val="28"/>
              </w:rPr>
            </w:pPr>
            <w:r w:rsidRPr="00D00552">
              <w:rPr>
                <w:rFonts w:ascii="Times New Roman" w:hAnsi="Times New Roman"/>
                <w:sz w:val="28"/>
                <w:szCs w:val="28"/>
              </w:rPr>
              <w:t>от 29.10.2019 № 336</w:t>
            </w:r>
          </w:p>
          <w:p w:rsidR="00D235F7" w:rsidRPr="00F16284" w:rsidRDefault="00D235F7" w:rsidP="00D235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35F7" w:rsidRPr="00350D60" w:rsidRDefault="00D235F7" w:rsidP="00D235F7">
      <w:pPr>
        <w:pStyle w:val="ConsPlusNormal"/>
        <w:jc w:val="both"/>
        <w:rPr>
          <w:rFonts w:ascii="Times New Roman" w:hAnsi="Times New Roman" w:cs="Times New Roman"/>
        </w:rPr>
      </w:pPr>
    </w:p>
    <w:p w:rsidR="00D235F7" w:rsidRPr="003E7926" w:rsidRDefault="00D235F7" w:rsidP="00D23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8"/>
      <w:bookmarkEnd w:id="1"/>
      <w:proofErr w:type="gramStart"/>
      <w:r w:rsidRPr="003E7926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E7926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E7926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E7926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E7926"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E7926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E7926">
        <w:rPr>
          <w:rFonts w:ascii="Times New Roman" w:hAnsi="Times New Roman" w:cs="Times New Roman"/>
          <w:b w:val="0"/>
          <w:sz w:val="28"/>
          <w:szCs w:val="28"/>
        </w:rPr>
        <w:t>К</w:t>
      </w:r>
    </w:p>
    <w:p w:rsidR="00D235F7" w:rsidRPr="003E7926" w:rsidRDefault="00D235F7" w:rsidP="00D23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7926">
        <w:rPr>
          <w:rFonts w:ascii="Times New Roman" w:hAnsi="Times New Roman" w:cs="Times New Roman"/>
          <w:b w:val="0"/>
          <w:sz w:val="28"/>
          <w:szCs w:val="28"/>
        </w:rPr>
        <w:t xml:space="preserve">формирования перечня налоговых расходов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3E7926">
        <w:rPr>
          <w:rFonts w:ascii="Times New Roman" w:hAnsi="Times New Roman" w:cs="Times New Roman"/>
          <w:b w:val="0"/>
          <w:sz w:val="28"/>
          <w:szCs w:val="28"/>
        </w:rPr>
        <w:t>язанской области</w:t>
      </w:r>
    </w:p>
    <w:p w:rsidR="00D235F7" w:rsidRPr="003E7926" w:rsidRDefault="00D235F7" w:rsidP="00D23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35F7" w:rsidRPr="004F4C6C" w:rsidRDefault="00D235F7" w:rsidP="00D2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C6C">
        <w:rPr>
          <w:rFonts w:ascii="Times New Roman" w:hAnsi="Times New Roman" w:cs="Times New Roman"/>
          <w:sz w:val="28"/>
          <w:szCs w:val="28"/>
        </w:rPr>
        <w:t>1. Настоящий Порядок определяет процедуру формирования перечня налоговых расходов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C6C">
        <w:rPr>
          <w:rFonts w:ascii="Times New Roman" w:hAnsi="Times New Roman" w:cs="Times New Roman"/>
          <w:sz w:val="28"/>
          <w:szCs w:val="28"/>
        </w:rPr>
        <w:t>(далее – перечень налоговых расходов).</w:t>
      </w:r>
    </w:p>
    <w:p w:rsidR="00D235F7" w:rsidRPr="00123A42" w:rsidRDefault="00D235F7" w:rsidP="00D2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C6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F4C6C">
        <w:rPr>
          <w:rFonts w:ascii="Times New Roman" w:hAnsi="Times New Roman" w:cs="Times New Roman"/>
          <w:sz w:val="28"/>
          <w:szCs w:val="28"/>
        </w:rPr>
        <w:t xml:space="preserve">Понятия, используемые в настоящем Порядке, употребляются в значениях, определенных в Бюджетном </w:t>
      </w:r>
      <w:hyperlink r:id="rId10">
        <w:r w:rsidRPr="004F4C6C">
          <w:rPr>
            <w:rFonts w:ascii="Times New Roman" w:hAnsi="Times New Roman" w:cs="Times New Roman"/>
            <w:sz w:val="28"/>
            <w:szCs w:val="28"/>
          </w:rPr>
          <w:t>кодексе</w:t>
        </w:r>
      </w:hyperlink>
      <w:r w:rsidRPr="004F4C6C">
        <w:rPr>
          <w:rFonts w:ascii="Times New Roman" w:hAnsi="Times New Roman" w:cs="Times New Roman"/>
          <w:sz w:val="28"/>
          <w:szCs w:val="28"/>
        </w:rPr>
        <w:t xml:space="preserve"> Российской Федерации и в </w:t>
      </w:r>
      <w:hyperlink r:id="rId11">
        <w:r w:rsidRPr="004F4C6C">
          <w:rPr>
            <w:rFonts w:ascii="Times New Roman" w:hAnsi="Times New Roman" w:cs="Times New Roman"/>
            <w:sz w:val="28"/>
            <w:szCs w:val="28"/>
          </w:rPr>
          <w:t>постановлении</w:t>
        </w:r>
      </w:hyperlink>
      <w:r w:rsidRPr="004F4C6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июня 2019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4F4C6C">
        <w:rPr>
          <w:rFonts w:ascii="Times New Roman" w:hAnsi="Times New Roman" w:cs="Times New Roman"/>
          <w:sz w:val="28"/>
          <w:szCs w:val="28"/>
        </w:rPr>
        <w:t>№ 796 «Об общих тр</w:t>
      </w:r>
      <w:r>
        <w:rPr>
          <w:rFonts w:ascii="Times New Roman" w:hAnsi="Times New Roman" w:cs="Times New Roman"/>
          <w:sz w:val="28"/>
          <w:szCs w:val="28"/>
        </w:rPr>
        <w:t xml:space="preserve">ебованиях </w:t>
      </w:r>
      <w:r w:rsidRPr="00123A42">
        <w:rPr>
          <w:rFonts w:ascii="Times New Roman" w:hAnsi="Times New Roman" w:cs="Times New Roman"/>
          <w:sz w:val="28"/>
          <w:szCs w:val="28"/>
        </w:rPr>
        <w:t>к оценке налоговых расходов субъектов Российской Федерации и муниципальных образований».</w:t>
      </w:r>
      <w:proofErr w:type="gramEnd"/>
    </w:p>
    <w:p w:rsidR="00D235F7" w:rsidRPr="00123A42" w:rsidRDefault="00D235F7" w:rsidP="00D2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42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74">
        <w:r w:rsidRPr="00123A4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23A42">
        <w:rPr>
          <w:rFonts w:ascii="Times New Roman" w:hAnsi="Times New Roman" w:cs="Times New Roman"/>
          <w:sz w:val="28"/>
          <w:szCs w:val="28"/>
        </w:rPr>
        <w:t xml:space="preserve"> налоговых расходов на очередной финансовый год в целях оценки налоговых расходов Рязанской области ежегодно формируется министерством экономического развития Рязанской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3A42">
        <w:rPr>
          <w:rFonts w:ascii="Times New Roman" w:hAnsi="Times New Roman" w:cs="Times New Roman"/>
          <w:sz w:val="28"/>
          <w:szCs w:val="28"/>
        </w:rPr>
        <w:t xml:space="preserve"> Министерство) по форме согласно приложению к настоящему Порядку.</w:t>
      </w:r>
    </w:p>
    <w:p w:rsidR="00D235F7" w:rsidRPr="00123A42" w:rsidRDefault="00D235F7" w:rsidP="00D2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42">
        <w:rPr>
          <w:rFonts w:ascii="Times New Roman" w:hAnsi="Times New Roman" w:cs="Times New Roman"/>
          <w:sz w:val="28"/>
          <w:szCs w:val="28"/>
        </w:rPr>
        <w:t>4. Министерство до 1 ноября формирует и направляет проект перечня налоговых расходов для согласования в исполнительные органы Рязанской области, которые предлагается определить в качестве кураторов налоговых расходов (далее – исполнительные органы Рязанской области).</w:t>
      </w:r>
    </w:p>
    <w:p w:rsidR="00D235F7" w:rsidRPr="00123A42" w:rsidRDefault="00D235F7" w:rsidP="00D2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42">
        <w:rPr>
          <w:rFonts w:ascii="Times New Roman" w:hAnsi="Times New Roman" w:cs="Times New Roman"/>
          <w:sz w:val="28"/>
          <w:szCs w:val="28"/>
        </w:rPr>
        <w:t>5. Исполнительные органы Рязанской области в срок до 15 ноября:</w:t>
      </w:r>
    </w:p>
    <w:p w:rsidR="00D235F7" w:rsidRPr="00123A42" w:rsidRDefault="00D235F7" w:rsidP="00D2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42">
        <w:rPr>
          <w:rFonts w:ascii="Times New Roman" w:hAnsi="Times New Roman" w:cs="Times New Roman"/>
          <w:sz w:val="28"/>
          <w:szCs w:val="28"/>
        </w:rPr>
        <w:t xml:space="preserve">- рассматривают проект перечня налоговых расходов на предмет </w:t>
      </w:r>
      <w:r w:rsidRPr="00F95738">
        <w:rPr>
          <w:rFonts w:ascii="Times New Roman" w:hAnsi="Times New Roman" w:cs="Times New Roman"/>
          <w:sz w:val="28"/>
          <w:szCs w:val="28"/>
        </w:rPr>
        <w:t>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42">
        <w:rPr>
          <w:rFonts w:ascii="Times New Roman" w:hAnsi="Times New Roman" w:cs="Times New Roman"/>
          <w:sz w:val="28"/>
          <w:szCs w:val="28"/>
        </w:rPr>
        <w:t>распределения налоговых расходов Рязанской области в соответствии с целями государственных программ Рязанской области и (или) целями социально-экономической политики Рязанской области, не относящимися к государственным программам Рязанской области, и определения кураторов налоговых расходов;</w:t>
      </w:r>
    </w:p>
    <w:p w:rsidR="00D235F7" w:rsidRPr="00123A42" w:rsidRDefault="00D235F7" w:rsidP="00D2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23A42">
        <w:rPr>
          <w:rFonts w:ascii="Times New Roman" w:hAnsi="Times New Roman" w:cs="Times New Roman"/>
          <w:sz w:val="28"/>
          <w:szCs w:val="28"/>
        </w:rPr>
        <w:t xml:space="preserve">направляют в Министерство (при необходимости) замечания и предложения по уточнению проекта перечня налоговых расходов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3A42">
        <w:rPr>
          <w:rFonts w:ascii="Times New Roman" w:hAnsi="Times New Roman" w:cs="Times New Roman"/>
          <w:sz w:val="28"/>
          <w:szCs w:val="28"/>
        </w:rPr>
        <w:t xml:space="preserve"> замечания и предложения).</w:t>
      </w:r>
    </w:p>
    <w:p w:rsidR="00D235F7" w:rsidRPr="00123A42" w:rsidRDefault="00D235F7" w:rsidP="00D2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42">
        <w:rPr>
          <w:rFonts w:ascii="Times New Roman" w:hAnsi="Times New Roman" w:cs="Times New Roman"/>
          <w:sz w:val="28"/>
          <w:szCs w:val="28"/>
        </w:rPr>
        <w:t xml:space="preserve">Если замечания и предложения не направлены в Министерство в срок, указанный в </w:t>
      </w:r>
      <w:hyperlink w:anchor="P50">
        <w:r w:rsidRPr="00123A42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123A42">
        <w:rPr>
          <w:rFonts w:ascii="Times New Roman" w:hAnsi="Times New Roman" w:cs="Times New Roman"/>
          <w:sz w:val="28"/>
          <w:szCs w:val="28"/>
        </w:rPr>
        <w:t xml:space="preserve"> настоящего пункта, проект перечня налоговых расходов считается согласованным.</w:t>
      </w:r>
    </w:p>
    <w:p w:rsidR="00873356" w:rsidRDefault="00873356" w:rsidP="008733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>
        <w:rPr>
          <w:rFonts w:ascii="Times New Roman" w:hAnsi="Times New Roman" w:cs="Times New Roman"/>
          <w:sz w:val="28"/>
          <w:szCs w:val="28"/>
        </w:rPr>
        <w:t>6. </w:t>
      </w:r>
      <w:r w:rsidRPr="00873356">
        <w:rPr>
          <w:rFonts w:ascii="Times New Roman" w:hAnsi="Times New Roman" w:cs="Times New Roman"/>
          <w:sz w:val="28"/>
          <w:szCs w:val="28"/>
        </w:rPr>
        <w:t>Поступившие замечания и предложения урегулируются Министерством до 5 декабря путем проведения согласительных совещаний.</w:t>
      </w:r>
      <w:r w:rsidRPr="001C5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5F7" w:rsidRPr="00091F79" w:rsidRDefault="00D235F7" w:rsidP="00D2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7. </w:t>
      </w:r>
      <w:proofErr w:type="gramStart"/>
      <w:r w:rsidRPr="00D00552">
        <w:rPr>
          <w:rFonts w:ascii="Times New Roman" w:hAnsi="Times New Roman" w:cs="Times New Roman"/>
          <w:sz w:val="28"/>
          <w:szCs w:val="28"/>
        </w:rPr>
        <w:t xml:space="preserve">В случае внесения в текущем финансовом году изменений </w:t>
      </w:r>
      <w:r w:rsidRPr="00123A42">
        <w:rPr>
          <w:rFonts w:ascii="Times New Roman" w:hAnsi="Times New Roman" w:cs="Times New Roman"/>
          <w:sz w:val="28"/>
          <w:szCs w:val="28"/>
        </w:rPr>
        <w:t>в государственные программы Рязанской области, в иные документы, содержащие цели социально-экономической политики Рязанской области,</w:t>
      </w:r>
      <w:r w:rsidRPr="00091F79">
        <w:rPr>
          <w:rFonts w:ascii="Times New Roman" w:hAnsi="Times New Roman" w:cs="Times New Roman"/>
          <w:sz w:val="28"/>
          <w:szCs w:val="28"/>
        </w:rPr>
        <w:t xml:space="preserve"> в полномочия</w:t>
      </w:r>
      <w:r w:rsidRPr="00E46B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кураторов налоговых расходов</w:t>
      </w:r>
      <w:r w:rsidRPr="00091F79">
        <w:rPr>
          <w:rFonts w:ascii="Times New Roman" w:hAnsi="Times New Roman" w:cs="Times New Roman"/>
          <w:sz w:val="28"/>
          <w:szCs w:val="28"/>
        </w:rPr>
        <w:t>, а также уточнения (отмены)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1F79">
        <w:rPr>
          <w:rFonts w:ascii="Times New Roman" w:hAnsi="Times New Roman" w:cs="Times New Roman"/>
          <w:sz w:val="28"/>
          <w:szCs w:val="28"/>
        </w:rPr>
        <w:t xml:space="preserve"> установления налоговых расходов Рязанской области кураторы налоговых расходов в течение 10 рабочих дней с даты изменений, но не позднее </w:t>
      </w:r>
      <w:r w:rsidR="00D74807">
        <w:rPr>
          <w:rFonts w:ascii="Times New Roman" w:hAnsi="Times New Roman" w:cs="Times New Roman"/>
          <w:sz w:val="28"/>
          <w:szCs w:val="28"/>
        </w:rPr>
        <w:br/>
      </w:r>
      <w:r w:rsidRPr="00091F79">
        <w:rPr>
          <w:rFonts w:ascii="Times New Roman" w:hAnsi="Times New Roman" w:cs="Times New Roman"/>
          <w:sz w:val="28"/>
          <w:szCs w:val="28"/>
        </w:rPr>
        <w:t>15 ноября, направляют в Министерство соответствующую информацию.</w:t>
      </w:r>
      <w:proofErr w:type="gramEnd"/>
    </w:p>
    <w:p w:rsidR="00D235F7" w:rsidRPr="00091F79" w:rsidRDefault="00D235F7" w:rsidP="00D2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79">
        <w:rPr>
          <w:rFonts w:ascii="Times New Roman" w:hAnsi="Times New Roman" w:cs="Times New Roman"/>
          <w:sz w:val="28"/>
          <w:szCs w:val="28"/>
        </w:rPr>
        <w:t xml:space="preserve">Информация включается Министерством в перечень налоговых расходов в срок, установленный в </w:t>
      </w:r>
      <w:hyperlink w:anchor="P46">
        <w:r w:rsidRPr="00091F7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091F79">
        <w:rPr>
          <w:rFonts w:ascii="Times New Roman" w:hAnsi="Times New Roman" w:cs="Times New Roman"/>
          <w:sz w:val="28"/>
          <w:szCs w:val="28"/>
        </w:rPr>
        <w:t>8 настоящего Порядка.</w:t>
      </w:r>
    </w:p>
    <w:p w:rsidR="00DF49D4" w:rsidRDefault="00D235F7" w:rsidP="00D2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F49D4" w:rsidSect="00190FF9">
          <w:headerReference w:type="default" r:id="rId12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091F79">
        <w:rPr>
          <w:rFonts w:ascii="Times New Roman" w:hAnsi="Times New Roman" w:cs="Times New Roman"/>
          <w:sz w:val="28"/>
          <w:szCs w:val="28"/>
        </w:rPr>
        <w:t>Министерство до 20 декабря размещает перечень налоговых расходов на сайте Министерства в информационно-телекоммуникационной сети «Интернет» по форме согласно приложению к настоящему Порядку</w:t>
      </w:r>
      <w:r w:rsidR="00D74807">
        <w:rPr>
          <w:rFonts w:ascii="Times New Roman" w:hAnsi="Times New Roman" w:cs="Times New Roman"/>
          <w:sz w:val="28"/>
          <w:szCs w:val="28"/>
        </w:rPr>
        <w:t>.</w:t>
      </w:r>
    </w:p>
    <w:p w:rsidR="00DF49D4" w:rsidRPr="00E96048" w:rsidRDefault="00DF49D4" w:rsidP="00DF49D4">
      <w:pPr>
        <w:pStyle w:val="ConsPlusNormal"/>
        <w:ind w:left="11057"/>
        <w:outlineLvl w:val="0"/>
        <w:rPr>
          <w:rFonts w:ascii="Times New Roman" w:hAnsi="Times New Roman" w:cs="Times New Roman"/>
          <w:sz w:val="28"/>
          <w:szCs w:val="28"/>
        </w:rPr>
      </w:pPr>
      <w:r w:rsidRPr="00E9604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49D4" w:rsidRPr="00E96048" w:rsidRDefault="00DF49D4" w:rsidP="00DF49D4">
      <w:pPr>
        <w:pStyle w:val="ConsPlusNormal"/>
        <w:ind w:left="11057"/>
        <w:rPr>
          <w:rFonts w:ascii="Times New Roman" w:hAnsi="Times New Roman" w:cs="Times New Roman"/>
          <w:sz w:val="28"/>
          <w:szCs w:val="28"/>
        </w:rPr>
      </w:pPr>
      <w:r w:rsidRPr="00E96048">
        <w:rPr>
          <w:rFonts w:ascii="Times New Roman" w:hAnsi="Times New Roman" w:cs="Times New Roman"/>
          <w:sz w:val="28"/>
          <w:szCs w:val="28"/>
        </w:rPr>
        <w:t>к Порядку формирования 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048">
        <w:rPr>
          <w:rFonts w:ascii="Times New Roman" w:hAnsi="Times New Roman" w:cs="Times New Roman"/>
          <w:sz w:val="28"/>
          <w:szCs w:val="28"/>
        </w:rPr>
        <w:t>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048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DF49D4" w:rsidRPr="00E96048" w:rsidRDefault="00DF49D4" w:rsidP="00DF49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49D4" w:rsidRPr="00DF49D4" w:rsidRDefault="00DF49D4" w:rsidP="00DF49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74"/>
      <w:bookmarkEnd w:id="3"/>
      <w:r w:rsidRPr="00DF49D4">
        <w:rPr>
          <w:rFonts w:ascii="Times New Roman" w:hAnsi="Times New Roman" w:cs="Times New Roman"/>
          <w:sz w:val="28"/>
          <w:szCs w:val="28"/>
        </w:rPr>
        <w:t>ПЕРЕЧЕНЬ</w:t>
      </w:r>
    </w:p>
    <w:p w:rsidR="00DF49D4" w:rsidRPr="00DF49D4" w:rsidRDefault="00DF49D4" w:rsidP="00DF49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49D4">
        <w:rPr>
          <w:rFonts w:ascii="Times New Roman" w:hAnsi="Times New Roman" w:cs="Times New Roman"/>
          <w:sz w:val="28"/>
          <w:szCs w:val="28"/>
        </w:rPr>
        <w:t xml:space="preserve">налоговых расходов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</w:p>
    <w:p w:rsidR="00DF49D4" w:rsidRPr="00DF49D4" w:rsidRDefault="00DF49D4" w:rsidP="00DF49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49D4">
        <w:rPr>
          <w:rFonts w:ascii="Times New Roman" w:hAnsi="Times New Roman" w:cs="Times New Roman"/>
          <w:sz w:val="28"/>
          <w:szCs w:val="28"/>
        </w:rPr>
        <w:t>на __________ год</w:t>
      </w:r>
    </w:p>
    <w:p w:rsidR="00DF49D4" w:rsidRPr="00DF49D4" w:rsidRDefault="00DF49D4" w:rsidP="00DF49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144"/>
        <w:gridCol w:w="1288"/>
        <w:gridCol w:w="1652"/>
        <w:gridCol w:w="1365"/>
        <w:gridCol w:w="1276"/>
        <w:gridCol w:w="1559"/>
        <w:gridCol w:w="1984"/>
        <w:gridCol w:w="1418"/>
        <w:gridCol w:w="2126"/>
        <w:gridCol w:w="1276"/>
      </w:tblGrid>
      <w:tr w:rsidR="00DF49D4" w:rsidRPr="00DF49D4" w:rsidTr="00DF49D4">
        <w:tc>
          <w:tcPr>
            <w:tcW w:w="1144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Наимено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</w:t>
            </w: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вание</w:t>
            </w:r>
            <w:proofErr w:type="spellEnd"/>
            <w:proofErr w:type="gramEnd"/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налога</w:t>
            </w:r>
          </w:p>
        </w:tc>
        <w:tc>
          <w:tcPr>
            <w:tcW w:w="1288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</w:t>
            </w: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ние</w:t>
            </w:r>
            <w:proofErr w:type="spellEnd"/>
            <w:proofErr w:type="gramEnd"/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налогового расхода</w:t>
            </w:r>
          </w:p>
        </w:tc>
        <w:tc>
          <w:tcPr>
            <w:tcW w:w="1652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Нормативный правовой акт Рязанской области, которым предусмотрен налоговый расход, структурная единица</w:t>
            </w:r>
          </w:p>
        </w:tc>
        <w:tc>
          <w:tcPr>
            <w:tcW w:w="1365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Период действия налогового расхода</w:t>
            </w:r>
          </w:p>
        </w:tc>
        <w:tc>
          <w:tcPr>
            <w:tcW w:w="1276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Размер налоговой ставки, в пределах которой </w:t>
            </w:r>
            <w:proofErr w:type="spellStart"/>
            <w:proofErr w:type="gramStart"/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предостав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</w:t>
            </w: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ляется</w:t>
            </w:r>
            <w:proofErr w:type="spellEnd"/>
            <w:proofErr w:type="gramEnd"/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налоговый расход</w:t>
            </w:r>
          </w:p>
        </w:tc>
        <w:tc>
          <w:tcPr>
            <w:tcW w:w="1559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Целевая категория налогового расхода (</w:t>
            </w:r>
            <w:proofErr w:type="gramStart"/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социальный</w:t>
            </w:r>
            <w:proofErr w:type="gramEnd"/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стимулирующий, технический)</w:t>
            </w:r>
          </w:p>
        </w:tc>
        <w:tc>
          <w:tcPr>
            <w:tcW w:w="1984" w:type="dxa"/>
          </w:tcPr>
          <w:p w:rsidR="00DF49D4" w:rsidRPr="00DF49D4" w:rsidRDefault="00DF49D4" w:rsidP="00DF49D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/>
                <w:spacing w:val="-4"/>
              </w:rPr>
            </w:pPr>
            <w:r w:rsidRPr="00DF49D4">
              <w:rPr>
                <w:rFonts w:ascii="Times New Roman" w:eastAsiaTheme="minorEastAsia" w:hAnsi="Times New Roman"/>
                <w:spacing w:val="-4"/>
              </w:rPr>
              <w:t>Наименование государственной программы и (или) цели социально-экономической политики Рязанской области, не относящейся к государственным программам Рязанской области</w:t>
            </w:r>
          </w:p>
        </w:tc>
        <w:tc>
          <w:tcPr>
            <w:tcW w:w="1418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Цель </w:t>
            </w:r>
            <w:proofErr w:type="spellStart"/>
            <w:proofErr w:type="gramStart"/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предоставле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</w:t>
            </w: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ния</w:t>
            </w:r>
            <w:proofErr w:type="spellEnd"/>
            <w:proofErr w:type="gramEnd"/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налогового расхода</w:t>
            </w:r>
          </w:p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Наименование показателя</w:t>
            </w:r>
          </w:p>
          <w:p w:rsidR="00DF49D4" w:rsidRPr="00DF49D4" w:rsidRDefault="00DF49D4" w:rsidP="00A40D81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достижения цели государственной программы и (или) цели социально-экономической политики Рязанской области, не относящейся к государственным программам Рязанской области, на достижение которого направлен налоговый расход</w:t>
            </w:r>
          </w:p>
        </w:tc>
        <w:tc>
          <w:tcPr>
            <w:tcW w:w="1276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Куратор налогового расхода</w:t>
            </w:r>
            <w:r w:rsidR="00D7480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»</w:t>
            </w:r>
          </w:p>
        </w:tc>
      </w:tr>
      <w:tr w:rsidR="00DF49D4" w:rsidRPr="00DF49D4" w:rsidTr="00DF49D4">
        <w:tc>
          <w:tcPr>
            <w:tcW w:w="1144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</w:t>
            </w:r>
          </w:p>
        </w:tc>
        <w:tc>
          <w:tcPr>
            <w:tcW w:w="1652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</w:t>
            </w:r>
          </w:p>
        </w:tc>
        <w:tc>
          <w:tcPr>
            <w:tcW w:w="1365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F49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</w:t>
            </w:r>
          </w:p>
        </w:tc>
      </w:tr>
      <w:tr w:rsidR="00DF49D4" w:rsidRPr="00DF49D4" w:rsidTr="00DF49D4">
        <w:tc>
          <w:tcPr>
            <w:tcW w:w="1144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288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652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365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49D4" w:rsidRPr="00DF49D4" w:rsidRDefault="00DF49D4" w:rsidP="00DF49D4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</w:tbl>
    <w:p w:rsidR="00DF49D4" w:rsidRDefault="00DF49D4" w:rsidP="00DF49D4"/>
    <w:p w:rsidR="00D235F7" w:rsidRPr="00091F79" w:rsidRDefault="00D235F7" w:rsidP="00D2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5F7" w:rsidRPr="00350D60" w:rsidRDefault="00D235F7" w:rsidP="00D23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5F7" w:rsidRDefault="00D235F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D235F7" w:rsidSect="00DF49D4">
      <w:pgSz w:w="16834" w:h="11907" w:orient="landscape" w:code="9"/>
      <w:pgMar w:top="1134" w:right="1134" w:bottom="567" w:left="1134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6D1" w:rsidRDefault="00C366D1">
      <w:r>
        <w:separator/>
      </w:r>
    </w:p>
  </w:endnote>
  <w:endnote w:type="continuationSeparator" w:id="0">
    <w:p w:rsidR="00C366D1" w:rsidRDefault="00C3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6D1" w:rsidRDefault="00C366D1">
      <w:r>
        <w:separator/>
      </w:r>
    </w:p>
  </w:footnote>
  <w:footnote w:type="continuationSeparator" w:id="0">
    <w:p w:rsidR="00C366D1" w:rsidRDefault="00C36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3F4248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24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3E8D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3615B"/>
    <w:rsid w:val="00847073"/>
    <w:rsid w:val="008513B9"/>
    <w:rsid w:val="008702D3"/>
    <w:rsid w:val="00873356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0D81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366D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35F7"/>
    <w:rsid w:val="00D266DD"/>
    <w:rsid w:val="00D32B04"/>
    <w:rsid w:val="00D374E7"/>
    <w:rsid w:val="00D63949"/>
    <w:rsid w:val="00D652E7"/>
    <w:rsid w:val="00D74807"/>
    <w:rsid w:val="00D77BCF"/>
    <w:rsid w:val="00D84394"/>
    <w:rsid w:val="00D95E55"/>
    <w:rsid w:val="00DB3664"/>
    <w:rsid w:val="00DC16FB"/>
    <w:rsid w:val="00DC4A65"/>
    <w:rsid w:val="00DC4F66"/>
    <w:rsid w:val="00DF49D4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235F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D235F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235F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D235F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70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0154&amp;dst=476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8</cp:revision>
  <cp:lastPrinted>2026-03-10T06:42:00Z</cp:lastPrinted>
  <dcterms:created xsi:type="dcterms:W3CDTF">2026-03-04T14:29:00Z</dcterms:created>
  <dcterms:modified xsi:type="dcterms:W3CDTF">2026-03-18T11:31:00Z</dcterms:modified>
</cp:coreProperties>
</file>