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CC2" w:rsidRDefault="0048440C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CC2" w:rsidRDefault="0048440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890CC2" w:rsidRDefault="0048440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890CC2" w:rsidRDefault="00890CC2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890CC2" w:rsidRDefault="00890CC2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890CC2" w:rsidRDefault="0048440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90CC2" w:rsidRDefault="00890CC2">
      <w:pPr>
        <w:tabs>
          <w:tab w:val="left" w:pos="709"/>
        </w:tabs>
        <w:jc w:val="center"/>
        <w:rPr>
          <w:sz w:val="28"/>
        </w:rPr>
      </w:pPr>
    </w:p>
    <w:p w:rsidR="00890CC2" w:rsidRDefault="00890CC2">
      <w:pPr>
        <w:tabs>
          <w:tab w:val="left" w:pos="709"/>
        </w:tabs>
        <w:jc w:val="center"/>
        <w:rPr>
          <w:sz w:val="28"/>
        </w:rPr>
      </w:pPr>
    </w:p>
    <w:p w:rsidR="00890CC2" w:rsidRDefault="0048440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C4057D">
        <w:rPr>
          <w:sz w:val="28"/>
        </w:rPr>
        <w:t>04</w:t>
      </w:r>
      <w:r>
        <w:rPr>
          <w:sz w:val="28"/>
        </w:rPr>
        <w:t>»</w:t>
      </w:r>
      <w:r w:rsidR="00C4057D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 </w:t>
      </w:r>
      <w:r w:rsidR="00C4057D">
        <w:rPr>
          <w:sz w:val="28"/>
        </w:rPr>
        <w:t xml:space="preserve">                       </w:t>
      </w:r>
      <w:r>
        <w:rPr>
          <w:sz w:val="28"/>
        </w:rPr>
        <w:t xml:space="preserve">№ </w:t>
      </w:r>
      <w:r w:rsidR="00C4057D">
        <w:rPr>
          <w:sz w:val="28"/>
        </w:rPr>
        <w:t>181-п</w:t>
      </w:r>
    </w:p>
    <w:p w:rsidR="00890CC2" w:rsidRDefault="00890CC2">
      <w:pPr>
        <w:tabs>
          <w:tab w:val="left" w:pos="709"/>
        </w:tabs>
        <w:jc w:val="both"/>
        <w:rPr>
          <w:sz w:val="28"/>
        </w:rPr>
      </w:pPr>
    </w:p>
    <w:p w:rsidR="00890CC2" w:rsidRDefault="00890CC2">
      <w:pPr>
        <w:tabs>
          <w:tab w:val="left" w:pos="709"/>
        </w:tabs>
        <w:jc w:val="both"/>
        <w:rPr>
          <w:sz w:val="28"/>
        </w:rPr>
      </w:pPr>
    </w:p>
    <w:p w:rsidR="00890CC2" w:rsidRDefault="0048440C">
      <w:pPr>
        <w:tabs>
          <w:tab w:val="left" w:pos="709"/>
        </w:tabs>
        <w:jc w:val="center"/>
        <w:rPr>
          <w:sz w:val="28"/>
          <w:szCs w:val="28"/>
        </w:rPr>
      </w:pPr>
      <w:bookmarkStart w:id="0" w:name="_GoBack"/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r>
        <w:rPr>
          <w:sz w:val="28"/>
        </w:rPr>
        <w:t>Турлатовское сельское поселение Рязанского муниципального района Рязанской области</w:t>
      </w:r>
    </w:p>
    <w:bookmarkEnd w:id="0"/>
    <w:p w:rsidR="00890CC2" w:rsidRDefault="00890CC2">
      <w:pPr>
        <w:tabs>
          <w:tab w:val="left" w:pos="709"/>
        </w:tabs>
        <w:jc w:val="both"/>
        <w:rPr>
          <w:sz w:val="28"/>
          <w:highlight w:val="white"/>
        </w:rPr>
      </w:pPr>
    </w:p>
    <w:p w:rsidR="00890CC2" w:rsidRDefault="0048440C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r>
        <w:rPr>
          <w:color w:val="auto"/>
          <w:sz w:val="28"/>
          <w:szCs w:val="28"/>
        </w:rPr>
        <w:t>ООО «Техмонтажсервис»</w:t>
      </w:r>
      <w:r>
        <w:rPr>
          <w:color w:val="000000" w:themeColor="text1"/>
          <w:sz w:val="28"/>
          <w:szCs w:val="28"/>
        </w:rPr>
        <w:t>, статьи 33 Градост</w:t>
      </w:r>
      <w:r>
        <w:rPr>
          <w:color w:val="000000" w:themeColor="text1"/>
          <w:sz w:val="28"/>
          <w:szCs w:val="28"/>
        </w:rPr>
        <w:t xml:space="preserve">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000000" w:themeColor="text1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Рязанско</w:t>
      </w:r>
      <w:r>
        <w:rPr>
          <w:color w:val="000000" w:themeColor="text1"/>
          <w:sz w:val="28"/>
          <w:szCs w:val="28"/>
        </w:rPr>
        <w:t xml:space="preserve">й области и органами государственной власти Рязанской области», с учетом решения комиссии </w:t>
      </w:r>
      <w:r>
        <w:rPr>
          <w:color w:val="000000" w:themeColor="text1"/>
          <w:sz w:val="28"/>
          <w:szCs w:val="28"/>
        </w:rPr>
        <w:br/>
        <w:t>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13.02.2026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Рязанской области от 06.0</w:t>
      </w:r>
      <w:r>
        <w:rPr>
          <w:color w:val="000000" w:themeColor="text1"/>
          <w:sz w:val="28"/>
          <w:szCs w:val="28"/>
        </w:rPr>
        <w:t>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890CC2" w:rsidRDefault="0048440C" w:rsidP="0048440C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Приступить к подготовке проекта внесения изменений в правил</w:t>
      </w:r>
      <w:r>
        <w:rPr>
          <w:color w:val="000000" w:themeColor="text1"/>
          <w:sz w:val="28"/>
          <w:szCs w:val="28"/>
        </w:rPr>
        <w:t xml:space="preserve">а землепользования и застройки муниципального образования – </w:t>
      </w:r>
      <w:r>
        <w:rPr>
          <w:sz w:val="28"/>
          <w:szCs w:val="28"/>
        </w:rPr>
        <w:t xml:space="preserve">Турлатовское </w:t>
      </w:r>
      <w:r>
        <w:rPr>
          <w:sz w:val="28"/>
        </w:rPr>
        <w:t xml:space="preserve">сельское поселение Рязанского муниципального района Рязанской области, утвержденные постановлением главного управления архитектуры </w:t>
      </w:r>
      <w:r>
        <w:rPr>
          <w:sz w:val="28"/>
        </w:rPr>
        <w:br/>
        <w:t>и градостроительства Рязанской области от 29.07.202</w:t>
      </w:r>
      <w:r>
        <w:rPr>
          <w:sz w:val="28"/>
        </w:rPr>
        <w:t xml:space="preserve">0 № 404-п «Об утверждении правил землепользования и застройки муниципального образования – Турлатовское сельское поселение Рязанского муниципального района Рязанской области» (в редакции постановлений Главархитектуры Рязанской области </w:t>
      </w:r>
      <w:r>
        <w:rPr>
          <w:sz w:val="28"/>
        </w:rPr>
        <w:br/>
        <w:t>от 07.07.2022 № 367-</w:t>
      </w:r>
      <w:r>
        <w:rPr>
          <w:sz w:val="28"/>
        </w:rPr>
        <w:t xml:space="preserve">п, от 23.11.2022 № 711-п, от 28.12.2022 № 808-п, </w:t>
      </w:r>
      <w:r>
        <w:rPr>
          <w:sz w:val="28"/>
        </w:rPr>
        <w:br/>
        <w:t xml:space="preserve">от 02.05.2023 </w:t>
      </w:r>
      <w:r>
        <w:rPr>
          <w:color w:val="000000" w:themeColor="text1"/>
          <w:sz w:val="28"/>
        </w:rPr>
        <w:t xml:space="preserve">№ 193-п, от 14.07.2023 № 309-п, от 06.10.2023 № 473-п, </w:t>
      </w:r>
      <w:r>
        <w:rPr>
          <w:color w:val="000000" w:themeColor="text1"/>
          <w:sz w:val="28"/>
        </w:rPr>
        <w:br/>
        <w:t xml:space="preserve">от 17.01.2024 № 14-п, от 29.01.2024 № 23-п, от 22.03.2024 № 98-п, от 10.04.2024 </w:t>
      </w:r>
      <w:r>
        <w:rPr>
          <w:color w:val="000000" w:themeColor="text1"/>
          <w:sz w:val="28"/>
        </w:rPr>
        <w:br/>
        <w:t xml:space="preserve">№ 126-п, от 14.06.2024 № 277-п, от 28.06.2024 № 317-п, </w:t>
      </w:r>
      <w:r>
        <w:rPr>
          <w:color w:val="000000" w:themeColor="text1"/>
          <w:sz w:val="28"/>
        </w:rPr>
        <w:t xml:space="preserve">от 21.08.2024 № 434-п, </w:t>
      </w:r>
      <w:r>
        <w:rPr>
          <w:color w:val="000000" w:themeColor="text1"/>
          <w:sz w:val="28"/>
        </w:rPr>
        <w:br/>
        <w:t xml:space="preserve">от 17.09.2024 № 485-п, от 16.10.2024 № 572-п, от 29.11.2024 № 692-п, </w:t>
      </w:r>
      <w:r>
        <w:rPr>
          <w:color w:val="000000" w:themeColor="text1"/>
          <w:sz w:val="28"/>
        </w:rPr>
        <w:br/>
        <w:t xml:space="preserve">от 09.01.2025 № 7-п, от 21.01.2025 № 52-п, от 23.01.2025 № 61-п, от 24.06.2025 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</w:rPr>
        <w:lastRenderedPageBreak/>
        <w:t xml:space="preserve">№ 493-п, от 30.06.2025 № 527-п, от 14.07.2025 № 555-п, от 11.08.2025 № 649-п, </w:t>
      </w:r>
      <w:r>
        <w:rPr>
          <w:color w:val="000000" w:themeColor="text1"/>
          <w:sz w:val="28"/>
        </w:rPr>
        <w:br/>
        <w:t xml:space="preserve">от </w:t>
      </w:r>
      <w:r>
        <w:rPr>
          <w:color w:val="000000" w:themeColor="text1"/>
          <w:sz w:val="28"/>
        </w:rPr>
        <w:t>29.08.2025 №727-п, от 22.12.2025 № 1186-п, с изменениями, внесенными решением Рязанского областного суда от 03.03.2022 № 3а-28/2022)</w:t>
      </w:r>
      <w:r>
        <w:rPr>
          <w:color w:val="000000" w:themeColor="text1"/>
          <w:sz w:val="28"/>
          <w:szCs w:val="28"/>
          <w:lang w:eastAsia="ar-SA"/>
        </w:rPr>
        <w:t>, в части</w:t>
      </w:r>
      <w:r>
        <w:rPr>
          <w:sz w:val="28"/>
          <w:szCs w:val="28"/>
        </w:rPr>
        <w:t xml:space="preserve"> изменения территориального зонирования земельного участка с кадастровым номером </w:t>
      </w:r>
      <w:r>
        <w:rPr>
          <w:sz w:val="28"/>
          <w:szCs w:val="28"/>
        </w:rPr>
        <w:t>62:15:0040409:205, площадью 534 кв.м, с зоны Ж-1 «Зона застройки индивидуальными жилыми домами» на зону П-2 «Коммунально-складская зона».</w:t>
      </w:r>
    </w:p>
    <w:p w:rsidR="00890CC2" w:rsidRDefault="0048440C" w:rsidP="0048440C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  <w:lang w:eastAsia="ar-SA"/>
        </w:rPr>
        <w:t>заинтересованн</w:t>
      </w:r>
      <w:r>
        <w:rPr>
          <w:sz w:val="28"/>
          <w:szCs w:val="28"/>
          <w:lang w:eastAsia="ar-SA"/>
        </w:rPr>
        <w:t>ому лицу ООО «</w:t>
      </w:r>
      <w:r>
        <w:rPr>
          <w:color w:val="auto"/>
          <w:sz w:val="28"/>
          <w:szCs w:val="28"/>
        </w:rPr>
        <w:t>Техмонтажсервис</w:t>
      </w:r>
      <w:r>
        <w:rPr>
          <w:sz w:val="28"/>
          <w:szCs w:val="28"/>
          <w:lang w:eastAsia="ar-SA"/>
        </w:rPr>
        <w:t xml:space="preserve">» </w:t>
      </w:r>
      <w:r>
        <w:rPr>
          <w:color w:val="000000" w:themeColor="text1"/>
          <w:sz w:val="28"/>
          <w:szCs w:val="28"/>
        </w:rPr>
        <w:t>разработать проект внесения изменений в правила землепользован</w:t>
      </w:r>
      <w:r>
        <w:rPr>
          <w:color w:val="000000" w:themeColor="text1"/>
          <w:sz w:val="28"/>
          <w:szCs w:val="28"/>
        </w:rPr>
        <w:t xml:space="preserve">ия и застройки </w:t>
      </w:r>
      <w:r>
        <w:rPr>
          <w:color w:val="000000" w:themeColor="text1"/>
          <w:sz w:val="28"/>
          <w:szCs w:val="28"/>
        </w:rPr>
        <w:br/>
      </w:r>
      <w:r>
        <w:rPr>
          <w:sz w:val="28"/>
          <w:szCs w:val="28"/>
          <w:lang w:eastAsia="ar-SA"/>
        </w:rPr>
        <w:t xml:space="preserve">в соответствии с пунктом 1 настоящего постановления </w:t>
      </w:r>
      <w:r>
        <w:rPr>
          <w:color w:val="000000" w:themeColor="text1"/>
          <w:sz w:val="28"/>
          <w:szCs w:val="28"/>
        </w:rPr>
        <w:t>за счет собственных средств</w:t>
      </w:r>
      <w:r w:rsidRPr="00C4057D">
        <w:rPr>
          <w:color w:val="000000" w:themeColor="text1"/>
          <w:sz w:val="28"/>
          <w:szCs w:val="28"/>
        </w:rPr>
        <w:t>.</w:t>
      </w:r>
    </w:p>
    <w:p w:rsidR="00890CC2" w:rsidRDefault="0048440C" w:rsidP="0048440C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Отделу градостроительного регулирования в соответствии с пунктом 1 настоящего постановления:</w:t>
      </w:r>
    </w:p>
    <w:p w:rsidR="00890CC2" w:rsidRDefault="0048440C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1) организовать подготовку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>;</w:t>
      </w:r>
    </w:p>
    <w:p w:rsidR="00890CC2" w:rsidRDefault="0048440C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2) обеспечить проверку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 xml:space="preserve"> и подготовить заключение о его соответствии нормам градостроительного законодательства.</w:t>
      </w:r>
    </w:p>
    <w:p w:rsidR="00890CC2" w:rsidRDefault="0048440C" w:rsidP="0048440C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890CC2" w:rsidRDefault="0048440C" w:rsidP="0048440C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890CC2" w:rsidRDefault="0048440C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>в правовом департаменте аппарата Губернатора и Правительства Рязанской области;</w:t>
        </w:r>
      </w:hyperlink>
    </w:p>
    <w:p w:rsidR="00890CC2" w:rsidRDefault="0048440C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 xml:space="preserve">2) опубликование настоящего постановления в сетевом издании «Рязанские ведомости» (www.rv-ryazan.ru) </w:t>
        </w:r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и на официальном интернет-портале правовой информации (www.pravo.gov.ru).</w:t>
        </w:r>
      </w:hyperlink>
    </w:p>
    <w:p w:rsidR="00890CC2" w:rsidRDefault="0048440C" w:rsidP="0048440C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</w:t>
      </w:r>
      <w:r>
        <w:rPr>
          <w:color w:val="000000" w:themeColor="text1"/>
          <w:sz w:val="28"/>
          <w:szCs w:val="28"/>
        </w:rPr>
        <w:t xml:space="preserve">ой области </w:t>
      </w:r>
      <w:r>
        <w:rPr>
          <w:color w:val="000000" w:themeColor="text1"/>
          <w:sz w:val="28"/>
          <w:szCs w:val="28"/>
        </w:rPr>
        <w:br/>
        <w:t>в сети «Интернет».</w:t>
      </w:r>
    </w:p>
    <w:p w:rsidR="00890CC2" w:rsidRDefault="0048440C" w:rsidP="0048440C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Предложить главе Рязанского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890CC2" w:rsidRDefault="0048440C" w:rsidP="0048440C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890CC2" w:rsidRDefault="00890CC2">
      <w:pPr>
        <w:widowControl w:val="0"/>
        <w:ind w:left="142"/>
        <w:jc w:val="both"/>
        <w:rPr>
          <w:sz w:val="22"/>
          <w:highlight w:val="yellow"/>
        </w:rPr>
      </w:pPr>
    </w:p>
    <w:p w:rsidR="00890CC2" w:rsidRDefault="00890CC2">
      <w:pPr>
        <w:widowControl w:val="0"/>
        <w:jc w:val="both"/>
        <w:rPr>
          <w:color w:val="auto"/>
          <w:sz w:val="22"/>
          <w:highlight w:val="white"/>
        </w:rPr>
      </w:pPr>
    </w:p>
    <w:p w:rsidR="00890CC2" w:rsidRDefault="0048440C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</w:t>
      </w:r>
      <w:r>
        <w:rPr>
          <w:color w:val="auto"/>
          <w:sz w:val="28"/>
          <w:szCs w:val="28"/>
          <w:highlight w:val="white"/>
        </w:rPr>
        <w:t xml:space="preserve">           </w:t>
      </w:r>
      <w:r>
        <w:rPr>
          <w:color w:val="auto"/>
          <w:sz w:val="28"/>
          <w:szCs w:val="28"/>
        </w:rPr>
        <w:t xml:space="preserve">                 Р.В. Шашкин</w:t>
      </w:r>
    </w:p>
    <w:p w:rsidR="00890CC2" w:rsidRDefault="00890CC2">
      <w:pPr>
        <w:tabs>
          <w:tab w:val="left" w:pos="709"/>
        </w:tabs>
        <w:jc w:val="both"/>
        <w:rPr>
          <w:sz w:val="24"/>
          <w:highlight w:val="white"/>
        </w:rPr>
      </w:pPr>
    </w:p>
    <w:p w:rsidR="00890CC2" w:rsidRDefault="00890CC2"/>
    <w:sectPr w:rsidR="00890CC2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40C" w:rsidRDefault="0048440C">
      <w:r>
        <w:separator/>
      </w:r>
    </w:p>
  </w:endnote>
  <w:endnote w:type="continuationSeparator" w:id="0">
    <w:p w:rsidR="0048440C" w:rsidRDefault="0048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40C" w:rsidRDefault="0048440C">
      <w:r>
        <w:separator/>
      </w:r>
    </w:p>
  </w:footnote>
  <w:footnote w:type="continuationSeparator" w:id="0">
    <w:p w:rsidR="0048440C" w:rsidRDefault="0048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CC2" w:rsidRDefault="0048440C">
    <w:pPr>
      <w:pStyle w:val="aff4"/>
      <w:jc w:val="center"/>
      <w:rPr>
        <w:sz w:val="28"/>
      </w:rPr>
    </w:pPr>
    <w:r>
      <w:fldChar w:fldCharType="begin"/>
    </w:r>
    <w:r>
      <w:instrText>PAGE \* MERGEFORMAT</w:instrText>
    </w:r>
    <w:r>
      <w:fldChar w:fldCharType="separate"/>
    </w:r>
    <w:r w:rsidR="00C4057D" w:rsidRPr="00C4057D">
      <w:rPr>
        <w:noProof/>
        <w:sz w:val="28"/>
      </w:rPr>
      <w:t>2</w:t>
    </w:r>
    <w:r>
      <w:rPr>
        <w:sz w:val="28"/>
      </w:rPr>
      <w:fldChar w:fldCharType="end"/>
    </w:r>
  </w:p>
  <w:p w:rsidR="00890CC2" w:rsidRDefault="00890CC2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13510"/>
    <w:multiLevelType w:val="hybridMultilevel"/>
    <w:tmpl w:val="E12869AE"/>
    <w:lvl w:ilvl="0" w:tplc="D696D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125239A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C447A1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264C894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B30672D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B5447B8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590EE31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5A8E80C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E814030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C2"/>
    <w:rsid w:val="0048440C"/>
    <w:rsid w:val="00890CC2"/>
    <w:rsid w:val="00C4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B5AD"/>
  <w15:docId w15:val="{AA1CC5B5-F195-4AD3-8228-693669C3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834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123</cp:revision>
  <dcterms:created xsi:type="dcterms:W3CDTF">2020-12-26T06:51:00Z</dcterms:created>
  <dcterms:modified xsi:type="dcterms:W3CDTF">2026-03-04T07:22:00Z</dcterms:modified>
</cp:coreProperties>
</file>