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3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3</w:t>
      </w:r>
      <w:r>
        <w:rPr>
          <w:rFonts w:ascii="Times New Roman" w:hAnsi="Times New Roman" w:cs="Times New Roman"/>
          <w:color w:val="auto"/>
        </w:rPr>
      </w:r>
    </w:p>
    <w:p>
      <w:pPr>
        <w:pStyle w:val="653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</w:p>
    <w:p>
      <w:pPr>
        <w:pStyle w:val="653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</w:p>
    <w:p>
      <w:pPr>
        <w:pStyle w:val="653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</w:p>
    <w:p>
      <w:pPr>
        <w:pStyle w:val="653"/>
        <w:ind w:firstLine="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</w:rPr>
        <w:t xml:space="preserve">от 18 марта 2026 г. № 209-п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3"/>
        <w:numPr>
          <w:ilvl w:val="0"/>
          <w:numId w:val="0"/>
        </w:numPr>
        <w:ind w:left="-425" w:right="0" w:firstLine="425"/>
        <w:jc w:val="both"/>
        <w:spacing w:before="0" w:after="0"/>
        <w:widowControl/>
        <w:rPr>
          <w:rFonts w:ascii="Times New Roman" w:hAnsi="Times New Roman" w:cs="Times New Roman"/>
          <w:b/>
          <w:bCs/>
          <w:color w:val="auto"/>
          <w:sz w:val="10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auto"/>
          <w:sz w:val="10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10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10"/>
          <w:szCs w:val="28"/>
        </w:rPr>
      </w:r>
    </w:p>
    <w:p>
      <w:pPr>
        <w:pStyle w:val="653"/>
        <w:numPr>
          <w:ilvl w:val="0"/>
          <w:numId w:val="0"/>
        </w:numPr>
        <w:ind w:left="-425" w:right="-141" w:firstLine="425"/>
        <w:jc w:val="both"/>
        <w:spacing w:before="0" w:after="0" w:line="240" w:lineRule="auto"/>
        <w:widowControl/>
        <w:rPr>
          <w:highlight w:val="none"/>
          <w:shd w:val="clear" w:color="auto" w:fill="auto"/>
        </w:rPr>
        <w:outlineLvl w:val="0"/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4.2. Зона инженерной инфраструктуры (И)</w:t>
      </w:r>
      <w:r>
        <w:rPr>
          <w:highlight w:val="none"/>
          <w:shd w:val="clear" w:color="auto" w:fill="auto"/>
        </w:rPr>
      </w:r>
    </w:p>
    <w:p>
      <w:pPr>
        <w:pStyle w:val="653"/>
        <w:numPr>
          <w:ilvl w:val="0"/>
          <w:numId w:val="0"/>
        </w:numPr>
        <w:ind w:left="-397" w:right="-113" w:firstLine="624"/>
        <w:jc w:val="both"/>
        <w:spacing w:before="0" w:beforeAutospacing="0" w:after="0" w:afterAutospacing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10"/>
          <w:szCs w:val="20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10"/>
          <w:szCs w:val="20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10"/>
          <w:szCs w:val="20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10"/>
          <w:szCs w:val="20"/>
          <w:highlight w:val="none"/>
        </w:rPr>
      </w:r>
    </w:p>
    <w:p>
      <w:pPr>
        <w:pStyle w:val="653"/>
        <w:numPr>
          <w:ilvl w:val="0"/>
          <w:numId w:val="0"/>
        </w:numPr>
        <w:contextualSpacing w:val="0"/>
        <w:ind w:left="-397" w:right="-113" w:firstLine="624"/>
        <w:jc w:val="both"/>
        <w:spacing w:before="0" w:beforeAutospacing="0" w:after="0" w:afterAutospacing="0" w:line="228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outlineLvl w:val="0"/>
        <w:suppressLineNumbers w:val="0"/>
      </w:pP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</w:rPr>
        <w:t xml:space="preserve">Зона инженерной инфраструктуры предназначена для размещения объектов коммунального обслуживания, связанных с обеспечением энергоснабжения, теплоснабжения, газоснабжения, водоснабжения, водоотведения, очисткой стоков, связи.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653"/>
        <w:contextualSpacing/>
        <w:ind w:left="-397" w:right="-227" w:firstLine="567"/>
        <w:jc w:val="both"/>
        <w:keepNext/>
        <w:spacing w:before="0" w:beforeAutospacing="0" w:after="198" w:afterAutospacing="0" w:line="228" w:lineRule="auto"/>
        <w:widowControl/>
        <w:suppressLineNumbers w:val="0"/>
      </w:pP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</w:rPr>
        <w:t xml:space="preserve">Виды</w:t>
      </w: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</w:rPr>
        <w:t xml:space="preserve"> разрешенного использования земельных участков и объектов капитального строительства в зоне «Зона инженерной инфраструктуры (И)» представлены в таблице 4.2.1.</w:t>
      </w:r>
      <w:r>
        <w:rPr>
          <w:rFonts w:ascii="Times New Roman" w:hAnsi="Times New Roman" w:eastAsia="NSimSun" w:cs="Times New Roman"/>
          <w:color w:val="auto"/>
          <w:sz w:val="28"/>
          <w:szCs w:val="28"/>
          <w:lang w:eastAsia="zh-CN" w:bidi="ar-SA"/>
        </w:rPr>
        <w:t xml:space="preserve">    </w:t>
      </w:r>
      <w:r>
        <w:rPr>
          <w:rFonts w:ascii="Times New Roman" w:hAnsi="Times New Roman" w:eastAsia="NSimSun" w:cs="Times New Roman"/>
          <w:color w:val="auto"/>
          <w:sz w:val="28"/>
          <w:szCs w:val="28"/>
          <w:lang w:eastAsia="zh-CN" w:bidi="ar-SA"/>
        </w:rPr>
        <w:t xml:space="preserve">    </w:t>
      </w:r>
      <w:r/>
    </w:p>
    <w:p>
      <w:pPr>
        <w:pStyle w:val="653"/>
        <w:contextualSpacing/>
        <w:ind w:left="-397" w:right="-227" w:firstLine="567"/>
        <w:jc w:val="right"/>
        <w:keepNext/>
        <w:spacing w:before="0" w:beforeAutospacing="0" w:after="198" w:afterAutospacing="0" w:line="240" w:lineRule="auto"/>
        <w:widowControl/>
        <w:suppressLineNumbers w:val="0"/>
      </w:pPr>
      <w:r>
        <w:rPr>
          <w:rFonts w:ascii="Times New Roman" w:hAnsi="Times New Roman" w:eastAsia="NSimSun" w:cs="Times New Roman"/>
          <w:color w:val="auto"/>
          <w:sz w:val="28"/>
          <w:szCs w:val="28"/>
          <w:lang w:eastAsia="zh-CN" w:bidi="ar-SA"/>
        </w:rPr>
        <w:t xml:space="preserve"> </w:t>
      </w:r>
      <w:r>
        <w:rPr>
          <w:rFonts w:ascii="Times New Roman" w:hAnsi="Times New Roman" w:eastAsia="NSimSun" w:cs="Times New Roman"/>
          <w:color w:val="auto"/>
          <w:sz w:val="28"/>
          <w:szCs w:val="28"/>
          <w:lang w:eastAsia="zh-CN" w:bidi="ar-SA"/>
        </w:rPr>
        <w:t xml:space="preserve">Таблица 4</w:t>
      </w:r>
      <w:r>
        <w:rPr>
          <w:rFonts w:ascii="Times New Roman" w:hAnsi="Times New Roman" w:eastAsia="NSimSun" w:cs="Times New Roman"/>
          <w:color w:val="auto"/>
          <w:sz w:val="28"/>
          <w:szCs w:val="28"/>
          <w:lang w:eastAsia="zh-CN" w:bidi="ar-SA"/>
        </w:rPr>
        <w:t xml:space="preserve">.2.1</w:t>
      </w:r>
      <w:r/>
    </w:p>
    <w:tbl>
      <w:tblPr>
        <w:tblW w:w="10063" w:type="dxa"/>
        <w:tblInd w:w="-41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09"/>
        <w:gridCol w:w="5411"/>
        <w:gridCol w:w="184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09" w:type="dxa"/>
            <w:vAlign w:val="center"/>
            <w:textDirection w:val="lrTb"/>
            <w:noWrap w:val="false"/>
          </w:tcPr>
          <w:p>
            <w:pPr>
              <w:pStyle w:val="715"/>
              <w:jc w:val="center"/>
              <w:keepNext/>
              <w:spacing w:before="0" w:after="0"/>
              <w:widowControl w:val="off"/>
            </w:pPr>
            <w: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11" w:type="dxa"/>
            <w:vAlign w:val="center"/>
            <w:textDirection w:val="lrTb"/>
            <w:noWrap w:val="false"/>
          </w:tcPr>
          <w:p>
            <w:pPr>
              <w:pStyle w:val="715"/>
              <w:jc w:val="center"/>
              <w:keepNext/>
              <w:spacing w:before="0" w:after="0"/>
              <w:widowControl w:val="off"/>
            </w:pPr>
            <w:r>
              <w:t xml:space="preserve">Наименование вида</w:t>
            </w:r>
            <w:r/>
          </w:p>
          <w:p>
            <w:pPr>
              <w:pStyle w:val="715"/>
              <w:jc w:val="center"/>
              <w:keepNext/>
              <w:spacing w:before="0" w:after="0"/>
              <w:widowControl w:val="off"/>
            </w:pPr>
            <w: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15"/>
              <w:jc w:val="center"/>
              <w:keepNext/>
              <w:spacing w:before="0" w:after="0"/>
              <w:widowControl w:val="off"/>
            </w:pPr>
            <w:r>
              <w:t xml:space="preserve">Код вида разрешенного использования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9" w:type="dxa"/>
            <w:vMerge w:val="restart"/>
            <w:textDirection w:val="lrTb"/>
            <w:noWrap w:val="false"/>
          </w:tcPr>
          <w:p>
            <w:pPr>
              <w:pStyle w:val="715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1" w:type="dxa"/>
            <w:textDirection w:val="lrTb"/>
            <w:noWrap w:val="false"/>
          </w:tcPr>
          <w:p>
            <w:pPr>
              <w:pStyle w:val="715"/>
              <w:keepNext/>
              <w:spacing w:before="0" w:after="0"/>
              <w:widowControl w:val="off"/>
            </w:pPr>
            <w:r>
              <w:rPr>
                <w:rFonts w:eastAsia="NSimSun" w:cs="Times New Roman"/>
                <w:color w:val="auto"/>
                <w:lang w:eastAsia="zh-CN" w:bidi="ar-SA"/>
              </w:rPr>
              <w:t xml:space="preserve">предоставление коммунальных услуг;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keepNext/>
              <w:spacing w:before="0" w:after="0"/>
              <w:widowControl w:val="off"/>
            </w:pPr>
            <w:r>
              <w:t xml:space="preserve">3.1.1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9" w:type="dxa"/>
            <w:vMerge w:val="continue"/>
            <w:textDirection w:val="lrTb"/>
            <w:noWrap w:val="false"/>
          </w:tcPr>
          <w:p>
            <w:pPr>
              <w:pStyle w:val="715"/>
              <w:keepNext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1" w:type="dxa"/>
            <w:textDirection w:val="lrTb"/>
            <w:noWrap w:val="false"/>
          </w:tcPr>
          <w:p>
            <w:pPr>
              <w:pStyle w:val="715"/>
              <w:keepNext/>
              <w:spacing w:before="0" w:after="0"/>
              <w:widowControl w:val="off"/>
            </w:pPr>
            <w:r>
              <w:rPr>
                <w:rFonts w:eastAsia="Times New Roman" w:cs="Times New Roman"/>
              </w:rPr>
              <w:t xml:space="preserve">обеспечение деятельности в области гидрометеорологии и смежных с ней областях;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keepNext/>
              <w:spacing w:before="0" w:after="0"/>
              <w:widowControl w:val="off"/>
            </w:pPr>
            <w:r>
              <w:t xml:space="preserve">3.9.1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9" w:type="dxa"/>
            <w:vMerge w:val="continue"/>
            <w:textDirection w:val="lrTb"/>
            <w:noWrap w:val="false"/>
          </w:tcPr>
          <w:p>
            <w:pPr>
              <w:pStyle w:val="715"/>
              <w:keepNext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1" w:type="dxa"/>
            <w:textDirection w:val="lrTb"/>
            <w:noWrap w:val="false"/>
          </w:tcPr>
          <w:p>
            <w:pPr>
              <w:pStyle w:val="715"/>
              <w:keepNext/>
              <w:spacing w:before="0" w:after="0"/>
              <w:widowControl w:val="off"/>
            </w:pPr>
            <w:r>
              <w:rPr>
                <w:rFonts w:eastAsia="Times New Roman" w:cs="Times New Roman"/>
                <w:color w:val="auto"/>
              </w:rPr>
              <w:t xml:space="preserve">энергетика;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6.7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9" w:type="dxa"/>
            <w:vMerge w:val="continue"/>
            <w:textDirection w:val="lrTb"/>
            <w:noWrap w:val="false"/>
          </w:tcPr>
          <w:p>
            <w:pPr>
              <w:pStyle w:val="715"/>
              <w:keepNext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1" w:type="dxa"/>
            <w:textDirection w:val="lrTb"/>
            <w:noWrap w:val="false"/>
          </w:tcPr>
          <w:p>
            <w:pPr>
              <w:pStyle w:val="715"/>
              <w:keepNext/>
              <w:spacing w:before="0" w:after="0"/>
              <w:widowControl w:val="off"/>
            </w:pPr>
            <w:r>
              <w:rPr>
                <w:rFonts w:eastAsia="Times New Roman" w:cs="Times New Roman"/>
                <w:color w:val="auto"/>
              </w:rPr>
              <w:t xml:space="preserve">связь;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6.8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9" w:type="dxa"/>
            <w:vMerge w:val="continue"/>
            <w:textDirection w:val="lrTb"/>
            <w:noWrap w:val="false"/>
          </w:tcPr>
          <w:p>
            <w:pPr>
              <w:pStyle w:val="715"/>
              <w:keepNext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1" w:type="dxa"/>
            <w:textDirection w:val="lrTb"/>
            <w:noWrap w:val="false"/>
          </w:tcPr>
          <w:p>
            <w:pPr>
              <w:pStyle w:val="715"/>
              <w:keepNext/>
              <w:spacing w:before="0" w:after="0"/>
              <w:widowControl w:val="off"/>
            </w:pPr>
            <w:r>
              <w:rPr>
                <w:rFonts w:eastAsia="Times New Roman" w:cs="Times New Roman"/>
                <w:color w:val="auto"/>
              </w:rPr>
              <w:t xml:space="preserve">трубопроводный транспорт;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7.5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9" w:type="dxa"/>
            <w:vMerge w:val="continue"/>
            <w:textDirection w:val="lrTb"/>
            <w:noWrap w:val="false"/>
          </w:tcPr>
          <w:p>
            <w:pPr>
              <w:pStyle w:val="715"/>
              <w:keepNext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1" w:type="dxa"/>
            <w:textDirection w:val="lrTb"/>
            <w:noWrap w:val="false"/>
          </w:tcPr>
          <w:p>
            <w:pPr>
              <w:pStyle w:val="715"/>
              <w:keepNext/>
              <w:spacing w:before="0" w:after="0"/>
              <w:widowControl w:val="off"/>
            </w:pPr>
            <w:r>
              <w:rPr>
                <w:rFonts w:eastAsia="Times New Roman" w:cs="Times New Roman"/>
                <w:color w:val="auto"/>
              </w:rPr>
              <w:t xml:space="preserve">гидротехнические сооружения.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11.3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9" w:type="dxa"/>
            <w:textDirection w:val="lrTb"/>
            <w:noWrap w:val="false"/>
          </w:tcPr>
          <w:p>
            <w:pPr>
              <w:pStyle w:val="715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1" w:type="dxa"/>
            <w:textDirection w:val="lrTb"/>
            <w:noWrap w:val="false"/>
          </w:tcPr>
          <w:p>
            <w:pPr>
              <w:pStyle w:val="715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-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9" w:type="dxa"/>
            <w:textDirection w:val="lrTb"/>
            <w:noWrap w:val="false"/>
          </w:tcPr>
          <w:p>
            <w:pPr>
              <w:pStyle w:val="715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Вспомогательные</w:t>
            </w:r>
            <w:r/>
          </w:p>
          <w:p>
            <w:pPr>
              <w:pStyle w:val="715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1" w:type="dxa"/>
            <w:textDirection w:val="lrTb"/>
            <w:noWrap w:val="false"/>
          </w:tcPr>
          <w:p>
            <w:pPr>
              <w:pStyle w:val="715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-</w:t>
            </w:r>
            <w:r/>
          </w:p>
        </w:tc>
      </w:tr>
    </w:tbl>
    <w:p>
      <w:pPr>
        <w:pStyle w:val="653"/>
        <w:contextualSpacing w:val="0"/>
        <w:ind w:left="-425" w:right="-283" w:firstLine="425"/>
        <w:jc w:val="both"/>
        <w:keepNext/>
        <w:spacing w:before="164" w:beforeAutospacing="0" w:after="0" w:line="228" w:lineRule="auto"/>
        <w:widowControl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 w:val="0"/>
          <w:bCs/>
          <w:i w:val="0"/>
          <w:strike w:val="0"/>
          <w:color w:val="auto"/>
          <w:sz w:val="28"/>
          <w:szCs w:val="28"/>
          <w:u w:val="none"/>
          <w:lang w:eastAsia="zh-CN" w:bidi="ar-SA"/>
        </w:rPr>
        <w:t xml:space="preserve">Зона инженерной инфраструктуры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 (И)» представлены в таблице 4.2.2.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54"/>
        <w:contextualSpacing/>
        <w:ind w:left="0" w:right="-283" w:firstLine="709"/>
        <w:jc w:val="right"/>
        <w:spacing w:before="0" w:after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eastAsia="zh-CN" w:bidi="ar-SA"/>
        </w:rPr>
        <w:t xml:space="preserve">Таблица 4.2.2</w:t>
      </w:r>
      <w:r>
        <w:rPr>
          <w:rFonts w:ascii="Times New Roman" w:hAnsi="Times New Roman" w:cs="Times New Roman"/>
          <w:b w:val="0"/>
          <w:color w:val="auto"/>
        </w:rPr>
      </w:r>
    </w:p>
    <w:tbl>
      <w:tblPr>
        <w:tblW w:w="10380" w:type="dxa"/>
        <w:tblInd w:w="-41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877"/>
        <w:gridCol w:w="997"/>
        <w:gridCol w:w="1015"/>
        <w:gridCol w:w="966"/>
        <w:gridCol w:w="1079"/>
        <w:gridCol w:w="1590"/>
        <w:gridCol w:w="1925"/>
        <w:gridCol w:w="1588"/>
        <w:gridCol w:w="342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7" w:type="dxa"/>
            <w:vMerge w:val="restart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решен-ного исполь-зования</w:t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12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rPr>
                <w:color w:val="auto"/>
              </w:rPr>
              <w:t xml:space="preserve">земельного</w:t>
            </w:r>
            <w:r>
              <w:rPr>
                <w:color w:va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участка (м)</w:t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45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90" w:type="dxa"/>
            <w:vMerge w:val="restart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25" w:type="dxa"/>
            <w:vMerge w:val="restart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</w:p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Merge w:val="restart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Максималь-ный процент застройки</w:t>
              <w:br/>
              <w:t xml:space="preserve">в границах земельного участка</w:t>
            </w:r>
            <w:r>
              <w:rPr>
                <w:color w:val="auto"/>
              </w:rPr>
            </w:r>
          </w:p>
          <w:p>
            <w:pPr>
              <w:pStyle w:val="715"/>
              <w:ind w:left="-28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</w:p>
        </w:tc>
        <w:tc>
          <w:tcPr>
            <w:tcW w:w="342" w:type="dxa"/>
            <w:vMerge w:val="restart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pStyle w:val="653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5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vMerge w:val="continue"/>
            <w:textDirection w:val="lrTb"/>
            <w:noWrap w:val="false"/>
          </w:tcPr>
          <w:p>
            <w:pPr>
              <w:pStyle w:val="653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vMerge w:val="continue"/>
            <w:textDirection w:val="lrTb"/>
            <w:noWrap w:val="false"/>
          </w:tcPr>
          <w:p>
            <w:pPr>
              <w:pStyle w:val="653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vMerge w:val="continue"/>
            <w:textDirection w:val="lrTb"/>
            <w:noWrap w:val="false"/>
          </w:tcPr>
          <w:p>
            <w:pPr>
              <w:pStyle w:val="653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342" w:type="dxa"/>
            <w:vMerge w:val="continue"/>
            <w:textDirection w:val="lrTb"/>
            <w:noWrap w:val="false"/>
          </w:tcPr>
          <w:p>
            <w:pPr>
              <w:pStyle w:val="653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</w:pPr>
            <w:r>
              <w:t xml:space="preserve">3.1.1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5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</w:pPr>
            <w:r>
              <w:t xml:space="preserve">3.9.1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5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</w:pPr>
            <w:r>
              <w:t xml:space="preserve">6.7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5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</w:pPr>
            <w:r>
              <w:t xml:space="preserve">6.8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5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</w:pPr>
            <w:r>
              <w:t xml:space="preserve">7.5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5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11.3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5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5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</w:tbl>
    <w:p>
      <w:pPr>
        <w:pStyle w:val="653"/>
        <w:ind w:left="0" w:right="-233" w:firstLine="0"/>
        <w:jc w:val="right"/>
        <w:spacing w:before="0" w:after="0" w:line="283" w:lineRule="atLeast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»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footnotePr/>
      <w:endnotePr/>
      <w:type w:val="nextPage"/>
      <w:pgSz w:w="11906" w:h="16838" w:orient="portrait"/>
      <w:pgMar w:top="709" w:right="800" w:bottom="822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654">
    <w:name w:val="Heading 1"/>
    <w:basedOn w:val="653"/>
    <w:next w:val="653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4">
    <w:name w:val="Heading 2 Char"/>
    <w:uiPriority w:val="9"/>
    <w:qFormat/>
    <w:rPr>
      <w:rFonts w:ascii="Arial" w:hAnsi="Arial" w:eastAsia="Arial" w:cs="Arial"/>
      <w:sz w:val="34"/>
    </w:rPr>
  </w:style>
  <w:style w:type="character" w:styleId="665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6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7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8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69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2">
    <w:name w:val="Title Char"/>
    <w:uiPriority w:val="10"/>
    <w:qFormat/>
    <w:rPr>
      <w:sz w:val="48"/>
      <w:szCs w:val="48"/>
    </w:rPr>
  </w:style>
  <w:style w:type="character" w:styleId="673">
    <w:name w:val="Subtitle Char"/>
    <w:uiPriority w:val="11"/>
    <w:qFormat/>
    <w:rPr>
      <w:sz w:val="24"/>
      <w:szCs w:val="24"/>
    </w:rPr>
  </w:style>
  <w:style w:type="character" w:styleId="674">
    <w:name w:val="Quote Char"/>
    <w:link w:val="694"/>
    <w:uiPriority w:val="29"/>
    <w:qFormat/>
    <w:rPr>
      <w:i/>
    </w:rPr>
  </w:style>
  <w:style w:type="character" w:styleId="675">
    <w:name w:val="Intense Quote Char"/>
    <w:link w:val="695"/>
    <w:uiPriority w:val="30"/>
    <w:qFormat/>
    <w:rPr>
      <w:i/>
    </w:rPr>
  </w:style>
  <w:style w:type="character" w:styleId="676">
    <w:name w:val="Header Char"/>
    <w:uiPriority w:val="99"/>
    <w:qFormat/>
  </w:style>
  <w:style w:type="character" w:styleId="677">
    <w:name w:val="Footer Char"/>
    <w:uiPriority w:val="99"/>
    <w:qFormat/>
  </w:style>
  <w:style w:type="character" w:styleId="678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79">
    <w:name w:val="Hyperlink"/>
    <w:uiPriority w:val="99"/>
    <w:unhideWhenUsed/>
    <w:rPr>
      <w:color w:val="0000ff" w:themeColor="hyperlink"/>
      <w:u w:val="single"/>
    </w:rPr>
  </w:style>
  <w:style w:type="character" w:styleId="680">
    <w:name w:val="Footnote Text Char"/>
    <w:uiPriority w:val="99"/>
    <w:qFormat/>
    <w:rPr>
      <w:sz w:val="18"/>
    </w:rPr>
  </w:style>
  <w:style w:type="character" w:styleId="681">
    <w:name w:val="Символ сноски"/>
    <w:uiPriority w:val="99"/>
    <w:unhideWhenUsed/>
    <w:qFormat/>
    <w:rPr>
      <w:vertAlign w:val="superscript"/>
    </w:rPr>
  </w:style>
  <w:style w:type="character" w:styleId="682">
    <w:name w:val="footnote reference"/>
    <w:rPr>
      <w:vertAlign w:val="superscript"/>
    </w:rPr>
  </w:style>
  <w:style w:type="character" w:styleId="683">
    <w:name w:val="Endnote Text Char"/>
    <w:uiPriority w:val="99"/>
    <w:qFormat/>
    <w:rPr>
      <w:sz w:val="20"/>
    </w:rPr>
  </w:style>
  <w:style w:type="character" w:styleId="68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5">
    <w:name w:val="endnote reference"/>
    <w:rPr>
      <w:vertAlign w:val="superscript"/>
    </w:rPr>
  </w:style>
  <w:style w:type="character" w:styleId="686" w:default="1">
    <w:name w:val="Default Paragraph Font"/>
    <w:uiPriority w:val="1"/>
    <w:semiHidden/>
    <w:unhideWhenUsed/>
    <w:qFormat/>
  </w:style>
  <w:style w:type="paragraph" w:styleId="687">
    <w:name w:val="Заголовок"/>
    <w:basedOn w:val="653"/>
    <w:next w:val="68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88" w:customStyle="1">
    <w:name w:val="Body Text"/>
    <w:pPr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u w:val="none"/>
      <w:vertAlign w:val="baseline"/>
      <w:lang w:val="ru-RU" w:eastAsia="ru-RU" w:bidi="hi-IN"/>
    </w:rPr>
  </w:style>
  <w:style w:type="paragraph" w:styleId="689">
    <w:name w:val="List"/>
    <w:basedOn w:val="688"/>
    <w:rPr>
      <w:rFonts w:cs="Arial"/>
    </w:rPr>
  </w:style>
  <w:style w:type="paragraph" w:styleId="690">
    <w:name w:val="Caption"/>
    <w:basedOn w:val="653"/>
    <w:next w:val="653"/>
    <w:link w:val="6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91">
    <w:name w:val="Указатель"/>
    <w:basedOn w:val="653"/>
    <w:qFormat/>
    <w:pPr>
      <w:suppressLineNumbers/>
    </w:pPr>
    <w:rPr>
      <w:rFonts w:cs="Arial"/>
    </w:rPr>
  </w:style>
  <w:style w:type="paragraph" w:styleId="692">
    <w:name w:val="Title"/>
    <w:basedOn w:val="653"/>
    <w:next w:val="653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3">
    <w:name w:val="Subtitle"/>
    <w:basedOn w:val="653"/>
    <w:next w:val="653"/>
    <w:link w:val="673"/>
    <w:uiPriority w:val="11"/>
    <w:qFormat/>
    <w:pPr>
      <w:spacing w:before="200" w:after="200"/>
    </w:pPr>
    <w:rPr>
      <w:sz w:val="24"/>
      <w:szCs w:val="24"/>
    </w:rPr>
  </w:style>
  <w:style w:type="paragraph" w:styleId="694">
    <w:name w:val="Quote"/>
    <w:basedOn w:val="653"/>
    <w:next w:val="653"/>
    <w:link w:val="674"/>
    <w:uiPriority w:val="29"/>
    <w:qFormat/>
    <w:pPr>
      <w:ind w:left="720" w:right="720" w:firstLine="0"/>
    </w:pPr>
    <w:rPr>
      <w:i/>
    </w:rPr>
  </w:style>
  <w:style w:type="paragraph" w:styleId="695">
    <w:name w:val="Intense Quote"/>
    <w:basedOn w:val="653"/>
    <w:next w:val="653"/>
    <w:link w:val="675"/>
    <w:uiPriority w:val="30"/>
    <w:qFormat/>
    <w:pPr>
      <w:ind w:left="720" w:right="720" w:firstLine="0"/>
      <w:spacing w:before="0" w:after="20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6">
    <w:name w:val="Колонтитул"/>
    <w:basedOn w:val="653"/>
    <w:qFormat/>
  </w:style>
  <w:style w:type="paragraph" w:styleId="697">
    <w:name w:val="Header"/>
    <w:basedOn w:val="653"/>
    <w:link w:val="676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98">
    <w:name w:val="Footer"/>
    <w:basedOn w:val="653"/>
    <w:link w:val="67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99">
    <w:name w:val="footnote text"/>
    <w:basedOn w:val="653"/>
    <w:link w:val="6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0">
    <w:name w:val="endnote text"/>
    <w:basedOn w:val="653"/>
    <w:link w:val="68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1">
    <w:name w:val="toc 1"/>
    <w:basedOn w:val="653"/>
    <w:next w:val="653"/>
    <w:uiPriority w:val="39"/>
    <w:unhideWhenUsed/>
    <w:pPr>
      <w:ind w:left="0" w:right="0" w:firstLine="0"/>
      <w:spacing w:before="0" w:after="57"/>
    </w:pPr>
  </w:style>
  <w:style w:type="paragraph" w:styleId="702">
    <w:name w:val="toc 2"/>
    <w:basedOn w:val="653"/>
    <w:next w:val="653"/>
    <w:uiPriority w:val="39"/>
    <w:unhideWhenUsed/>
    <w:pPr>
      <w:ind w:left="283" w:right="0" w:firstLine="0"/>
      <w:spacing w:before="0" w:after="57"/>
    </w:pPr>
  </w:style>
  <w:style w:type="paragraph" w:styleId="703">
    <w:name w:val="toc 3"/>
    <w:basedOn w:val="653"/>
    <w:next w:val="653"/>
    <w:uiPriority w:val="39"/>
    <w:unhideWhenUsed/>
    <w:pPr>
      <w:ind w:left="567" w:right="0" w:firstLine="0"/>
      <w:spacing w:before="0" w:after="57"/>
    </w:pPr>
  </w:style>
  <w:style w:type="paragraph" w:styleId="704">
    <w:name w:val="toc 4"/>
    <w:basedOn w:val="653"/>
    <w:next w:val="653"/>
    <w:uiPriority w:val="39"/>
    <w:unhideWhenUsed/>
    <w:pPr>
      <w:ind w:left="850" w:right="0" w:firstLine="0"/>
      <w:spacing w:before="0" w:after="57"/>
    </w:pPr>
  </w:style>
  <w:style w:type="paragraph" w:styleId="705">
    <w:name w:val="toc 5"/>
    <w:basedOn w:val="653"/>
    <w:next w:val="653"/>
    <w:uiPriority w:val="39"/>
    <w:unhideWhenUsed/>
    <w:pPr>
      <w:ind w:left="1134" w:right="0" w:firstLine="0"/>
      <w:spacing w:before="0" w:after="57"/>
    </w:pPr>
  </w:style>
  <w:style w:type="paragraph" w:styleId="706">
    <w:name w:val="toc 6"/>
    <w:basedOn w:val="653"/>
    <w:next w:val="653"/>
    <w:uiPriority w:val="39"/>
    <w:unhideWhenUsed/>
    <w:pPr>
      <w:ind w:left="1417" w:right="0" w:firstLine="0"/>
      <w:spacing w:before="0" w:after="57"/>
    </w:pPr>
  </w:style>
  <w:style w:type="paragraph" w:styleId="707">
    <w:name w:val="toc 7"/>
    <w:basedOn w:val="653"/>
    <w:next w:val="653"/>
    <w:uiPriority w:val="39"/>
    <w:unhideWhenUsed/>
    <w:pPr>
      <w:ind w:left="1701" w:right="0" w:firstLine="0"/>
      <w:spacing w:before="0" w:after="57"/>
    </w:pPr>
  </w:style>
  <w:style w:type="paragraph" w:styleId="708">
    <w:name w:val="toc 8"/>
    <w:basedOn w:val="653"/>
    <w:next w:val="653"/>
    <w:uiPriority w:val="39"/>
    <w:unhideWhenUsed/>
    <w:pPr>
      <w:ind w:left="1984" w:right="0" w:firstLine="0"/>
      <w:spacing w:before="0" w:after="57"/>
    </w:pPr>
  </w:style>
  <w:style w:type="paragraph" w:styleId="709">
    <w:name w:val="toc 9"/>
    <w:basedOn w:val="653"/>
    <w:next w:val="653"/>
    <w:uiPriority w:val="39"/>
    <w:unhideWhenUsed/>
    <w:pPr>
      <w:ind w:left="2268" w:right="0" w:firstLine="0"/>
      <w:spacing w:before="0" w:after="57"/>
    </w:pPr>
  </w:style>
  <w:style w:type="paragraph" w:styleId="710">
    <w:name w:val="Index Heading"/>
    <w:basedOn w:val="687"/>
  </w:style>
  <w:style w:type="paragraph" w:styleId="711">
    <w:name w:val="TOC Heading"/>
    <w:uiPriority w:val="39"/>
    <w:unhideWhenUsed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712">
    <w:name w:val="table of figures"/>
    <w:basedOn w:val="653"/>
    <w:next w:val="653"/>
    <w:uiPriority w:val="99"/>
    <w:unhideWhenUsed/>
    <w:qFormat/>
    <w:pPr>
      <w:spacing w:before="0" w:after="0" w:afterAutospacing="0"/>
    </w:pPr>
  </w:style>
  <w:style w:type="paragraph" w:styleId="713">
    <w:name w:val="No Spacing"/>
    <w:basedOn w:val="653"/>
    <w:uiPriority w:val="1"/>
    <w:qFormat/>
    <w:pPr>
      <w:spacing w:before="0" w:after="0" w:line="240" w:lineRule="auto"/>
    </w:pPr>
  </w:style>
  <w:style w:type="paragraph" w:styleId="714">
    <w:name w:val="List Paragraph"/>
    <w:basedOn w:val="653"/>
    <w:uiPriority w:val="34"/>
    <w:qFormat/>
    <w:pPr>
      <w:contextualSpacing/>
      <w:ind w:left="720" w:firstLine="0"/>
      <w:spacing w:before="0" w:after="200"/>
    </w:pPr>
  </w:style>
  <w:style w:type="paragraph" w:styleId="715" w:customStyle="1">
    <w:name w:val="Содержимое таблицы"/>
    <w:qFormat/>
    <w:pPr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  <w:lang w:val="ru-RU" w:eastAsia="ru-RU" w:bidi="hi-IN"/>
    </w:rPr>
  </w:style>
  <w:style w:type="paragraph" w:styleId="716" w:customStyle="1">
    <w:name w:val="Обычная таблица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ar-SA" w:bidi="hi-IN"/>
    </w:rPr>
  </w:style>
  <w:style w:type="numbering" w:styleId="717" w:default="1">
    <w:name w:val="No List"/>
    <w:uiPriority w:val="99"/>
    <w:semiHidden/>
    <w:unhideWhenUsed/>
    <w:qFormat/>
  </w:style>
  <w:style w:type="table" w:styleId="718">
    <w:name w:val="Table Grid"/>
    <w:basedOn w:val="84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4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4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1">
    <w:name w:val="Plain Table 2"/>
    <w:basedOn w:val="84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febf6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dfebf6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7a4d8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4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4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4d2eb" w:fill="b4d2eb" w:themeFill="accent1" w:themeFillTint="75"/>
      </w:tcPr>
    </w:tblStylePr>
    <w:tblStylePr w:type="band1Vert">
      <w:tcPr>
        <w:shd w:val="clear" w:color="b4d2eb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6c3a1" w:fill="f6c3a1" w:themeFill="accent2" w:themeFillTint="75"/>
      </w:tcPr>
    </w:tblStylePr>
    <w:tblStylePr w:type="band1Vert">
      <w:tcPr>
        <w:shd w:val="clear" w:color="f6c3a1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d6d6d6" w:fill="d6d6d6" w:themeFill="accent3" w:themeFillTint="75"/>
      </w:tcPr>
    </w:tblStylePr>
    <w:tblStylePr w:type="band1Vert">
      <w:tcPr>
        <w:shd w:val="clear" w:color="d6d6d6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ee189" w:fill="fee189" w:themeFill="accent4" w:themeFillTint="75"/>
      </w:tcPr>
    </w:tblStylePr>
    <w:tblStylePr w:type="band1Vert">
      <w:tcPr>
        <w:shd w:val="clear" w:color="fee189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aabfe3" w:fill="aabfe3" w:themeFill="accent5" w:themeFillTint="75"/>
      </w:tcPr>
    </w:tblStylePr>
    <w:tblStylePr w:type="band1Vert">
      <w:tcPr>
        <w:shd w:val="clear" w:color="aabfe3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edba8" w:fill="bedba8" w:themeFill="accent6" w:themeFillTint="75"/>
      </w:tcPr>
    </w:tblStylePr>
    <w:tblStylePr w:type="band1Vert">
      <w:tcPr>
        <w:shd w:val="clear" w:color="bedba8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8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eabdb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ad08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4b185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5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d864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4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8eabdb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eabdb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ad08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ad08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1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1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2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2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2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2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2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2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3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3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3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3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3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3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3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3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3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 Версия 4025.00.30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30.10.2025 N 944-п"Об утверждении правил землепользования и застройки муниципального образования - Касимовский муниципальный округ Рязанской области применительно к территориям р.п. Гусь-Железный, п. Красная Нива, с. Лався, д. Чаур, д. Чуликса с прилегающей территорией в кадастровых кварталах 62:04:2210101, 62:04:2210102, 62:04:2210105, 62:04:2240101, 62:04:2240201, 62:04:0490101, за исключением территории, расположенной в границах Погостинского, Гиблицког</dc:title>
  <dc:subject/>
  <dc:creator/>
  <dc:description/>
  <dc:language>ru-RU</dc:language>
  <cp:lastModifiedBy>div</cp:lastModifiedBy>
  <cp:revision>14</cp:revision>
  <dcterms:created xsi:type="dcterms:W3CDTF">2025-11-07T10:57:00Z</dcterms:created>
  <dcterms:modified xsi:type="dcterms:W3CDTF">2026-03-18T14:04:39Z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