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spacing w:after="0"/>
        <w:rPr>
          <w:rFonts w:ascii="Times New Roman" w:hAnsi="Times New Roman" w:cs="Times New Roman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094" w:right="0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8"/>
        </w:rPr>
        <w:t xml:space="preserve">становлению главного управления </w:t>
      </w:r>
      <w:r>
        <w:rPr>
          <w:rFonts w:ascii="Times New Roman" w:hAnsi="Times New Roman" w:cs="Times New Roman"/>
          <w:sz w:val="24"/>
          <w:szCs w:val="28"/>
        </w:rPr>
      </w:r>
      <w:r/>
    </w:p>
    <w:p>
      <w:pPr>
        <w:ind w:left="6094" w:right="0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архитектуры</w:t>
      </w:r>
      <w:r>
        <w:rPr>
          <w:rFonts w:ascii="Times New Roman" w:hAnsi="Times New Roman" w:cs="Times New Roman"/>
          <w:sz w:val="24"/>
          <w:szCs w:val="24"/>
        </w:rPr>
        <w:t xml:space="preserve"> и градостроительства 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ind w:left="6094" w:right="0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ind w:left="6094" w:right="0" w:firstLine="0"/>
        <w:spacing w:after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27 февраля 2026 г. </w:t>
      </w:r>
      <w:r>
        <w:rPr>
          <w:rFonts w:ascii="Times New Roman" w:hAnsi="Times New Roman" w:cs="Times New Roman"/>
          <w:sz w:val="24"/>
          <w:szCs w:val="24"/>
        </w:rPr>
        <w:t xml:space="preserve">№ 176-п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954" w:right="221" w:firstLine="1060"/>
        <w:jc w:val="right"/>
        <w:spacing w:before="4"/>
        <w:tabs>
          <w:tab w:val="left" w:pos="8854" w:leader="none"/>
          <w:tab w:val="left" w:pos="9983" w:leader="none"/>
        </w:tabs>
        <w:rPr>
          <w:sz w:val="24"/>
        </w:rPr>
      </w:pPr>
      <w:r>
        <w:rPr>
          <w:sz w:val="24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2"/>
        <w:rPr>
          <w:b w:val="0"/>
        </w:rPr>
      </w:pPr>
      <w:r>
        <w:rPr>
          <w:b w:val="0"/>
        </w:rPr>
      </w:r>
      <w:r/>
    </w:p>
    <w:p>
      <w:pPr>
        <w:pStyle w:val="816"/>
        <w:ind w:left="990" w:right="830" w:firstLine="1531"/>
      </w:pPr>
      <w:r>
        <w:t xml:space="preserve">Внесение изменений в генеральный план муниципального</w:t>
      </w:r>
      <w:r>
        <w:rPr>
          <w:spacing w:val="-7"/>
        </w:rPr>
        <w:t xml:space="preserve"> </w:t>
      </w:r>
      <w:r>
        <w:t xml:space="preserve">образования</w:t>
      </w:r>
      <w:r>
        <w:rPr>
          <w:spacing w:val="-5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Мелекшинское</w:t>
      </w:r>
      <w:r>
        <w:rPr>
          <w:spacing w:val="-8"/>
        </w:rPr>
        <w:t xml:space="preserve"> </w:t>
      </w:r>
      <w:r>
        <w:t xml:space="preserve">сельское</w:t>
      </w:r>
      <w:r>
        <w:rPr>
          <w:spacing w:val="-7"/>
        </w:rPr>
        <w:t xml:space="preserve"> </w:t>
      </w:r>
      <w:r>
        <w:t xml:space="preserve">поселение</w:t>
      </w:r>
      <w:r/>
    </w:p>
    <w:p>
      <w:pPr>
        <w:pStyle w:val="816"/>
        <w:ind w:left="4" w:right="282"/>
        <w:jc w:val="center"/>
        <w:spacing w:line="299" w:lineRule="exact"/>
      </w:pPr>
      <w:r>
        <w:rPr>
          <w:spacing w:val="-2"/>
        </w:rPr>
        <w:t xml:space="preserve">Старожиловского</w:t>
      </w:r>
      <w:r>
        <w:rPr>
          <w:spacing w:val="6"/>
        </w:rPr>
        <w:t xml:space="preserve"> </w:t>
      </w:r>
      <w:r>
        <w:rPr>
          <w:spacing w:val="-2"/>
        </w:rPr>
        <w:t xml:space="preserve">муниципального</w:t>
      </w:r>
      <w:r>
        <w:rPr>
          <w:spacing w:val="6"/>
        </w:rPr>
        <w:t xml:space="preserve"> </w:t>
      </w:r>
      <w:r>
        <w:rPr>
          <w:spacing w:val="-2"/>
        </w:rPr>
        <w:t xml:space="preserve">района</w:t>
      </w:r>
      <w:r>
        <w:rPr>
          <w:spacing w:val="4"/>
        </w:rPr>
        <w:t xml:space="preserve"> </w:t>
      </w:r>
      <w:r>
        <w:rPr>
          <w:spacing w:val="-2"/>
        </w:rPr>
        <w:t xml:space="preserve">Рязанской</w:t>
      </w:r>
      <w:r>
        <w:rPr>
          <w:spacing w:val="4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6"/>
        <w:ind w:right="282"/>
        <w:jc w:val="center"/>
        <w:spacing w:before="1"/>
      </w:pPr>
      <w:r>
        <w:t xml:space="preserve">в</w:t>
      </w:r>
      <w:r>
        <w:rPr>
          <w:spacing w:val="-4"/>
        </w:rPr>
        <w:t xml:space="preserve"> </w:t>
      </w:r>
      <w:r>
        <w:t xml:space="preserve">части</w:t>
      </w:r>
      <w:r>
        <w:rPr>
          <w:spacing w:val="-4"/>
        </w:rPr>
        <w:t xml:space="preserve"> </w:t>
      </w:r>
      <w:r>
        <w:t xml:space="preserve">включения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границы</w:t>
      </w:r>
      <w:r>
        <w:rPr>
          <w:spacing w:val="-3"/>
        </w:rPr>
        <w:t xml:space="preserve"> </w:t>
      </w:r>
      <w:r>
        <w:t xml:space="preserve">населенного</w:t>
      </w:r>
      <w:r>
        <w:rPr>
          <w:spacing w:val="-4"/>
        </w:rPr>
        <w:t xml:space="preserve"> </w:t>
      </w:r>
      <w:r>
        <w:t xml:space="preserve">пункта</w:t>
      </w:r>
      <w:r>
        <w:rPr>
          <w:spacing w:val="-3"/>
        </w:rPr>
        <w:t xml:space="preserve"> </w:t>
      </w:r>
      <w:r>
        <w:t xml:space="preserve">с.</w:t>
      </w:r>
      <w:r>
        <w:rPr>
          <w:spacing w:val="-4"/>
        </w:rPr>
        <w:t xml:space="preserve"> </w:t>
      </w:r>
      <w:r>
        <w:t xml:space="preserve">Лучинск</w:t>
      </w:r>
      <w:r>
        <w:rPr>
          <w:spacing w:val="-4"/>
        </w:rPr>
        <w:t xml:space="preserve"> </w:t>
      </w:r>
      <w:r>
        <w:t xml:space="preserve">земельного</w:t>
      </w:r>
      <w:r>
        <w:rPr>
          <w:spacing w:val="-4"/>
        </w:rPr>
        <w:t xml:space="preserve"> </w:t>
      </w:r>
      <w:r>
        <w:t xml:space="preserve">участка</w:t>
      </w:r>
      <w:r>
        <w:rPr>
          <w:spacing w:val="-4"/>
        </w:rPr>
        <w:t xml:space="preserve"> </w:t>
      </w:r>
      <w:r>
        <w:br/>
        <w:t xml:space="preserve">с кадастровым номером 62:21:0020234:32, а также территории в кадастровом квартале 62:21:0020247 и части земельного участка с кадастровым номером 62:21:0020247:633 с установлением функциональной зоны «Жилые зоны»</w:t>
      </w:r>
      <w:r/>
    </w:p>
    <w:p>
      <w:pPr>
        <w:pStyle w:val="816"/>
        <w:spacing w:before="23"/>
      </w:pPr>
      <w:r/>
      <w:r/>
    </w:p>
    <w:p>
      <w:pPr>
        <w:ind w:left="292" w:right="570" w:firstLine="0"/>
        <w:jc w:val="center"/>
        <w:spacing w:before="0"/>
        <w:rPr>
          <w:sz w:val="26"/>
        </w:rPr>
      </w:pPr>
      <w:r>
        <w:rPr>
          <w:sz w:val="26"/>
        </w:rPr>
        <w:t xml:space="preserve">Фрагмент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границ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населенных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пунктов,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входящих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состав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поселения Масштаб 1:2 000</w:t>
      </w:r>
      <w:r/>
    </w:p>
    <w:p>
      <w:pPr>
        <w:pStyle w:val="816"/>
        <w:spacing w:before="119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2327239</wp:posOffset>
                </wp:positionH>
                <wp:positionV relativeFrom="paragraph">
                  <wp:posOffset>236894</wp:posOffset>
                </wp:positionV>
                <wp:extent cx="3316917" cy="2481072"/>
                <wp:effectExtent l="0" t="0" r="0" b="0"/>
                <wp:wrapTopAndBottom/>
                <wp:docPr id="1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316917" cy="2481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83.2pt;mso-position-horizontal:absolute;mso-position-vertical-relative:text;margin-top:18.7pt;mso-position-vertical:absolute;width:261.2pt;height:195.4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pStyle w:val="816"/>
        <w:spacing w:before="26"/>
        <w:rPr>
          <w:b w:val="0"/>
        </w:rPr>
      </w:pPr>
      <w:r>
        <w:rPr>
          <w:b w:val="0"/>
        </w:rPr>
      </w:r>
      <w:r/>
    </w:p>
    <w:p>
      <w:pPr>
        <w:ind w:left="5" w:right="282" w:firstLine="0"/>
        <w:jc w:val="center"/>
        <w:spacing w:before="0"/>
        <w:rPr>
          <w:sz w:val="26"/>
        </w:rPr>
      </w:pPr>
      <w:r>
        <w:rPr>
          <w:sz w:val="26"/>
        </w:rPr>
        <w:t xml:space="preserve">Условные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 xml:space="preserve">обозначения</w:t>
      </w:r>
      <w:r/>
    </w:p>
    <w:p>
      <w:pPr>
        <w:pStyle w:val="816"/>
        <w:spacing w:before="66"/>
        <w:rPr>
          <w:b w:val="0"/>
          <w:sz w:val="22"/>
        </w:rPr>
      </w:pPr>
      <w:r>
        <w:rPr>
          <w:b w:val="0"/>
          <w:sz w:val="22"/>
        </w:rPr>
      </w:r>
      <w:r/>
    </w:p>
    <w:p>
      <w:pPr>
        <w:ind w:left="2904" w:right="0" w:firstLine="0"/>
        <w:jc w:val="left"/>
        <w:spacing w:before="0"/>
        <w:rPr>
          <w:sz w:val="22"/>
        </w:rPr>
      </w:pPr>
      <w:r>
        <w:rPr>
          <w:spacing w:val="-4"/>
          <w:sz w:val="22"/>
        </w:rPr>
        <w:t xml:space="preserve">сущ.</w:t>
      </w:r>
      <w:r/>
    </w:p>
    <w:p>
      <w:pPr>
        <w:ind w:left="4364" w:right="830" w:firstLine="0"/>
        <w:jc w:val="left"/>
        <w:spacing w:before="70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2560648</wp:posOffset>
                </wp:positionH>
                <wp:positionV relativeFrom="paragraph">
                  <wp:posOffset>579940</wp:posOffset>
                </wp:positionV>
                <wp:extent cx="470443" cy="409072"/>
                <wp:effectExtent l="0" t="0" r="0" b="0"/>
                <wp:wrapNone/>
                <wp:docPr id="2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70442" cy="409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15729664;o:allowoverlap:true;o:allowincell:true;mso-position-horizontal-relative:page;margin-left:201.6pt;mso-position-horizontal:absolute;mso-position-vertical-relative:text;margin-top:45.7pt;mso-position-vertical:absolute;width:37.0pt;height:32.2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4"/>
        </w:rPr>
        <w:t xml:space="preserve">Границы единиц административно- территориального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деления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 xml:space="preserve">Федерации</w:t>
      </w:r>
      <w:r/>
    </w:p>
    <w:p>
      <w:pPr>
        <w:ind w:left="4364" w:right="0" w:firstLine="0"/>
        <w:jc w:val="left"/>
        <w:spacing w:before="240"/>
        <w:rPr>
          <w:sz w:val="24"/>
        </w:rPr>
      </w:pPr>
      <w:r>
        <w:rPr>
          <w:sz w:val="24"/>
        </w:rPr>
        <w:t xml:space="preserve">Граница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населенного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пункта</w:t>
      </w:r>
      <w:r/>
    </w:p>
    <w:sectPr>
      <w:footnotePr/>
      <w:endnotePr/>
      <w:type w:val="continuous"/>
      <w:pgSz w:w="11910" w:h="16840" w:orient="portrait"/>
      <w:pgMar w:top="880" w:right="425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2026-02-24T11:40:14Z</dcterms:created>
  <dcterms:modified xsi:type="dcterms:W3CDTF">2026-02-27T12:44:50Z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2026-02-24T00:00:00Z</vt:filetime>
  </property>
  <property fmtid="{D5CDD505-2E9C-101B-9397-08002B2CF9AE}" pid="5" name="Producer">
    <vt:lpwstr>GPL Ghostscript 10.02.1</vt:lpwstr>
  </property>
</Properties>
</file>