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4BB" w:rsidRDefault="00112C0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4BB" w:rsidRDefault="00112C08">
      <w:pPr>
        <w:pStyle w:val="a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1554BB" w:rsidRDefault="00112C08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554BB" w:rsidRDefault="001554BB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1554BB" w:rsidRDefault="001554BB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1554BB" w:rsidRDefault="00112C0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554BB" w:rsidRDefault="001554BB">
      <w:pPr>
        <w:tabs>
          <w:tab w:val="left" w:pos="709"/>
        </w:tabs>
        <w:jc w:val="center"/>
        <w:rPr>
          <w:sz w:val="28"/>
        </w:rPr>
      </w:pPr>
    </w:p>
    <w:p w:rsidR="001554BB" w:rsidRDefault="001554BB">
      <w:pPr>
        <w:tabs>
          <w:tab w:val="left" w:pos="709"/>
        </w:tabs>
        <w:jc w:val="center"/>
        <w:rPr>
          <w:sz w:val="28"/>
        </w:rPr>
      </w:pPr>
    </w:p>
    <w:p w:rsidR="001554BB" w:rsidRDefault="00112C0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318CB">
        <w:rPr>
          <w:sz w:val="28"/>
        </w:rPr>
        <w:t>20</w:t>
      </w:r>
      <w:r>
        <w:rPr>
          <w:sz w:val="28"/>
        </w:rPr>
        <w:t>»</w:t>
      </w:r>
      <w:r w:rsidR="006318CB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</w:t>
      </w:r>
      <w:r w:rsidR="006318CB">
        <w:rPr>
          <w:sz w:val="28"/>
        </w:rPr>
        <w:tab/>
      </w:r>
      <w:r w:rsidR="006318CB">
        <w:rPr>
          <w:sz w:val="28"/>
        </w:rPr>
        <w:tab/>
      </w:r>
      <w:r>
        <w:rPr>
          <w:sz w:val="28"/>
        </w:rPr>
        <w:t xml:space="preserve">    № </w:t>
      </w:r>
      <w:r w:rsidR="006318CB">
        <w:rPr>
          <w:sz w:val="28"/>
        </w:rPr>
        <w:t>303-п</w:t>
      </w:r>
    </w:p>
    <w:p w:rsidR="001554BB" w:rsidRDefault="001554BB">
      <w:pPr>
        <w:tabs>
          <w:tab w:val="left" w:pos="709"/>
        </w:tabs>
        <w:jc w:val="both"/>
        <w:rPr>
          <w:sz w:val="28"/>
        </w:rPr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9847"/>
        <w:gridCol w:w="41"/>
      </w:tblGrid>
      <w:tr w:rsidR="001554BB">
        <w:trPr>
          <w:gridAfter w:val="1"/>
          <w:wAfter w:w="41" w:type="dxa"/>
          <w:trHeight w:val="1515"/>
        </w:trPr>
        <w:tc>
          <w:tcPr>
            <w:tcW w:w="9888" w:type="dxa"/>
          </w:tcPr>
          <w:p w:rsidR="001554BB" w:rsidRDefault="001554BB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1554BB" w:rsidRDefault="00112C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</w:pPr>
            <w:bookmarkStart w:id="0" w:name="_GoBack"/>
            <w:r>
              <w:rPr>
                <w:sz w:val="28"/>
                <w:szCs w:val="28"/>
              </w:rPr>
              <w:t>О подготовке проекта внесения измене</w:t>
            </w:r>
            <w:r>
              <w:rPr>
                <w:sz w:val="28"/>
                <w:szCs w:val="28"/>
              </w:rPr>
              <w:t xml:space="preserve">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Выжелесское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Спасского </w:t>
            </w:r>
            <w:r>
              <w:rPr>
                <w:sz w:val="28"/>
                <w:szCs w:val="28"/>
              </w:rPr>
              <w:t>муниципального района Рязанской области</w:t>
            </w:r>
          </w:p>
          <w:bookmarkEnd w:id="0"/>
          <w:p w:rsidR="001554BB" w:rsidRDefault="001554BB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</w:tc>
      </w:tr>
      <w:tr w:rsidR="001554BB">
        <w:trPr>
          <w:gridAfter w:val="1"/>
          <w:wAfter w:w="41" w:type="dxa"/>
        </w:trPr>
        <w:tc>
          <w:tcPr>
            <w:tcW w:w="9888" w:type="dxa"/>
          </w:tcPr>
          <w:p w:rsidR="001554BB" w:rsidRDefault="00112C08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целях внесения сведений о границах территориальных зон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br/>
              <w:t xml:space="preserve">на основании </w:t>
            </w:r>
            <w:r>
              <w:rPr>
                <w:color w:val="000000" w:themeColor="text1"/>
                <w:sz w:val="28"/>
              </w:rPr>
              <w:t>статьи 33 Градостроительного кодекса Российс</w:t>
            </w:r>
            <w:r>
              <w:rPr>
                <w:color w:val="000000" w:themeColor="text1"/>
                <w:sz w:val="28"/>
                <w:szCs w:val="28"/>
              </w:rPr>
              <w:t xml:space="preserve">кой Федерации, статьи 2 Закона Рязанской области от 28.12.2018 № 106-ОЗ </w:t>
            </w:r>
            <w:r>
              <w:rPr>
                <w:color w:val="000000" w:themeColor="text1"/>
                <w:sz w:val="28"/>
                <w:szCs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color w:val="000000" w:themeColor="text1"/>
                <w:sz w:val="28"/>
                <w:szCs w:val="28"/>
              </w:rPr>
              <w:t>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10.04.2026, руководствуясь постановлением Правительства Рязанской</w:t>
            </w:r>
            <w:r>
              <w:rPr>
                <w:color w:val="000000" w:themeColor="text1"/>
                <w:sz w:val="28"/>
                <w:szCs w:val="28"/>
              </w:rPr>
              <w:t xml:space="preserve"> области </w:t>
            </w:r>
            <w:r>
              <w:rPr>
                <w:color w:val="000000" w:themeColor="text1"/>
                <w:sz w:val="28"/>
                <w:szCs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1554BB" w:rsidRDefault="00112C08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Приступить к подготовке пр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оекта внесения 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зменений в правила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Выжелесское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Сп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асского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муниципального района Рязанской области, утвержденные постановлением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и градостроительства Рязанской области от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13.10.2</w:t>
            </w:r>
            <w:hyperlink r:id="rId8" w:tooltip="http://3.11.2021" w:history="1">
              <w:r>
                <w:rPr>
                  <w:color w:val="000000" w:themeColor="text1"/>
                  <w:sz w:val="28"/>
                  <w:szCs w:val="28"/>
                  <w:highlight w:val="white"/>
                </w:rPr>
                <w:t>022</w:t>
              </w:r>
            </w:hyperlink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№ 577-п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Выжелесское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сельское поселение Спасского муниципального ра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йона Рязанской области» </w:t>
            </w:r>
            <w:r>
              <w:rPr>
                <w:color w:val="000000" w:themeColor="text1"/>
                <w:sz w:val="28"/>
                <w:highlight w:val="white"/>
              </w:rPr>
              <w:t>(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в редакции постановлений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Рязанской области от 25.11.2024 № 683-п, от 28.10.2025 № 937-п, от 15.12.2025 № 1120-п)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в части приведения территориальной зоны «1 Жилые зоны (населенный пункт д.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Макеево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)» в соответствие с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границей д.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Макеево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>.</w:t>
            </w:r>
          </w:p>
          <w:p w:rsidR="001554BB" w:rsidRDefault="00112C08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в соответствии с пунктом 1 настоящего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постановления.</w:t>
            </w:r>
          </w:p>
          <w:p w:rsidR="001554BB" w:rsidRDefault="00112C08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Отделу кадровой работы и делопроизводства обеспечить:</w:t>
            </w:r>
          </w:p>
          <w:p w:rsidR="001554BB" w:rsidRDefault="00112C08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1554BB" w:rsidRDefault="00112C08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опубликование настоящего постановления в сете</w:t>
            </w:r>
            <w:r>
              <w:rPr>
                <w:sz w:val="28"/>
              </w:rPr>
              <w:t>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1554BB" w:rsidRDefault="00112C08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о управления архитектуры и градостроительства Рязанской области         в сети «Интернет».</w:t>
            </w:r>
          </w:p>
          <w:p w:rsidR="001554BB" w:rsidRDefault="00112C08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Предложить </w:t>
            </w:r>
            <w:r>
              <w:rPr>
                <w:color w:val="auto"/>
                <w:sz w:val="28"/>
                <w:szCs w:val="28"/>
              </w:rPr>
              <w:t xml:space="preserve">главе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Спасс</w:t>
            </w:r>
            <w:r>
              <w:rPr>
                <w:color w:val="auto"/>
                <w:sz w:val="28"/>
                <w:szCs w:val="28"/>
              </w:rPr>
              <w:t xml:space="preserve">кого </w:t>
            </w:r>
            <w:r>
              <w:rPr>
                <w:color w:val="000000" w:themeColor="text1"/>
                <w:sz w:val="28"/>
                <w:szCs w:val="28"/>
              </w:rPr>
              <w:t>муниципального округа</w:t>
            </w:r>
            <w:r>
              <w:rPr>
                <w:color w:val="auto"/>
                <w:sz w:val="28"/>
                <w:szCs w:val="28"/>
              </w:rPr>
              <w:t xml:space="preserve"> Рязанской области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обеспечить размещение настоящего постановления на официальном сайте муниципального образования в с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ети «Интернет», публикацию в средствах массовой информации.</w:t>
            </w:r>
          </w:p>
          <w:p w:rsidR="001554BB" w:rsidRDefault="00112C08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Контроль за исполнением настоящего постановления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возложить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>и градостроительства Рязанской области Н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.А.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>.</w:t>
            </w:r>
          </w:p>
          <w:p w:rsidR="001554BB" w:rsidRDefault="001554BB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1554BB" w:rsidRDefault="001554BB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1554BB" w:rsidRDefault="001554BB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1554BB">
        <w:tc>
          <w:tcPr>
            <w:tcW w:w="99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4BB" w:rsidRDefault="00112C08">
            <w:r>
              <w:rPr>
                <w:color w:val="auto"/>
                <w:sz w:val="28"/>
                <w:szCs w:val="28"/>
              </w:rPr>
              <w:lastRenderedPageBreak/>
              <w:t xml:space="preserve">Начальник                               </w:t>
            </w:r>
            <w:r w:rsidR="006318CB">
              <w:rPr>
                <w:color w:val="auto"/>
                <w:sz w:val="28"/>
                <w:szCs w:val="28"/>
              </w:rPr>
              <w:t xml:space="preserve">      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Р.В. Шашкин</w:t>
            </w:r>
          </w:p>
        </w:tc>
      </w:tr>
    </w:tbl>
    <w:p w:rsidR="001554BB" w:rsidRDefault="001554BB"/>
    <w:p w:rsidR="001554BB" w:rsidRDefault="001554BB">
      <w:pPr>
        <w:tabs>
          <w:tab w:val="left" w:pos="709"/>
        </w:tabs>
        <w:jc w:val="both"/>
        <w:rPr>
          <w:sz w:val="28"/>
        </w:rPr>
      </w:pPr>
    </w:p>
    <w:p w:rsidR="001554BB" w:rsidRDefault="001554BB"/>
    <w:sectPr w:rsidR="001554BB">
      <w:headerReference w:type="default" r:id="rId9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C08" w:rsidRDefault="00112C08">
      <w:pPr>
        <w:pStyle w:val="33"/>
      </w:pPr>
      <w:r>
        <w:separator/>
      </w:r>
    </w:p>
  </w:endnote>
  <w:endnote w:type="continuationSeparator" w:id="0">
    <w:p w:rsidR="00112C08" w:rsidRDefault="00112C08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C08" w:rsidRDefault="00112C08">
      <w:pPr>
        <w:pStyle w:val="33"/>
      </w:pPr>
      <w:r>
        <w:separator/>
      </w:r>
    </w:p>
  </w:footnote>
  <w:footnote w:type="continuationSeparator" w:id="0">
    <w:p w:rsidR="00112C08" w:rsidRDefault="00112C08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4BB" w:rsidRDefault="00112C08">
    <w:pPr>
      <w:pStyle w:val="af"/>
      <w:jc w:val="center"/>
      <w:rPr>
        <w:sz w:val="28"/>
      </w:rPr>
    </w:pPr>
    <w:r>
      <w:rPr>
        <w:sz w:val="28"/>
      </w:rPr>
      <w:t>2</w:t>
    </w:r>
  </w:p>
  <w:p w:rsidR="001554BB" w:rsidRDefault="001554BB">
    <w:pPr>
      <w:pStyle w:val="af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171"/>
    <w:multiLevelType w:val="multilevel"/>
    <w:tmpl w:val="7A20A3A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1100324"/>
    <w:multiLevelType w:val="multilevel"/>
    <w:tmpl w:val="33DE4E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2441877"/>
    <w:multiLevelType w:val="multilevel"/>
    <w:tmpl w:val="F9889D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5E30279"/>
    <w:multiLevelType w:val="multilevel"/>
    <w:tmpl w:val="24B4852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08303B31"/>
    <w:multiLevelType w:val="multilevel"/>
    <w:tmpl w:val="8D64AA8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0C693741"/>
    <w:multiLevelType w:val="multilevel"/>
    <w:tmpl w:val="E20CA6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0FA01D88"/>
    <w:multiLevelType w:val="multilevel"/>
    <w:tmpl w:val="F314E45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0FA43A3A"/>
    <w:multiLevelType w:val="multilevel"/>
    <w:tmpl w:val="EBEAF03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10B4027B"/>
    <w:multiLevelType w:val="multilevel"/>
    <w:tmpl w:val="0E9E0F9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11BB539C"/>
    <w:multiLevelType w:val="multilevel"/>
    <w:tmpl w:val="9CE232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15F46954"/>
    <w:multiLevelType w:val="multilevel"/>
    <w:tmpl w:val="83BEB12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19981CD6"/>
    <w:multiLevelType w:val="multilevel"/>
    <w:tmpl w:val="E7A2AE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 w15:restartNumberingAfterBreak="0">
    <w:nsid w:val="1C400346"/>
    <w:multiLevelType w:val="multilevel"/>
    <w:tmpl w:val="A1FA6B6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1C5F0DE4"/>
    <w:multiLevelType w:val="multilevel"/>
    <w:tmpl w:val="D70EEC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238B3F37"/>
    <w:multiLevelType w:val="multilevel"/>
    <w:tmpl w:val="56D6C6B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244227F6"/>
    <w:multiLevelType w:val="multilevel"/>
    <w:tmpl w:val="9B6632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2B687417"/>
    <w:multiLevelType w:val="multilevel"/>
    <w:tmpl w:val="552AAB7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2F9223DB"/>
    <w:multiLevelType w:val="multilevel"/>
    <w:tmpl w:val="AC56DC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2FBF5E85"/>
    <w:multiLevelType w:val="multilevel"/>
    <w:tmpl w:val="CD20FB7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34321E83"/>
    <w:multiLevelType w:val="multilevel"/>
    <w:tmpl w:val="C35C465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345D0B84"/>
    <w:multiLevelType w:val="multilevel"/>
    <w:tmpl w:val="312CB5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 w15:restartNumberingAfterBreak="0">
    <w:nsid w:val="36272E9E"/>
    <w:multiLevelType w:val="multilevel"/>
    <w:tmpl w:val="B92699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37667849"/>
    <w:multiLevelType w:val="multilevel"/>
    <w:tmpl w:val="1124E7A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 w15:restartNumberingAfterBreak="0">
    <w:nsid w:val="3EB8659D"/>
    <w:multiLevelType w:val="multilevel"/>
    <w:tmpl w:val="9678F94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 w15:restartNumberingAfterBreak="0">
    <w:nsid w:val="3FA00C59"/>
    <w:multiLevelType w:val="multilevel"/>
    <w:tmpl w:val="D5A2414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3FA97484"/>
    <w:multiLevelType w:val="multilevel"/>
    <w:tmpl w:val="405464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417D077F"/>
    <w:multiLevelType w:val="multilevel"/>
    <w:tmpl w:val="6B4CA9A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 w15:restartNumberingAfterBreak="0">
    <w:nsid w:val="52D6139C"/>
    <w:multiLevelType w:val="multilevel"/>
    <w:tmpl w:val="8B024EB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545A58AA"/>
    <w:multiLevelType w:val="multilevel"/>
    <w:tmpl w:val="FDFE8DF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5D5841AB"/>
    <w:multiLevelType w:val="multilevel"/>
    <w:tmpl w:val="3154D06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 w15:restartNumberingAfterBreak="0">
    <w:nsid w:val="654E1BF1"/>
    <w:multiLevelType w:val="multilevel"/>
    <w:tmpl w:val="AE3CB5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664A7DED"/>
    <w:multiLevelType w:val="multilevel"/>
    <w:tmpl w:val="8C565DC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 w15:restartNumberingAfterBreak="0">
    <w:nsid w:val="6AC02027"/>
    <w:multiLevelType w:val="multilevel"/>
    <w:tmpl w:val="D5CC945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6B2B2679"/>
    <w:multiLevelType w:val="multilevel"/>
    <w:tmpl w:val="F88C97D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4" w15:restartNumberingAfterBreak="0">
    <w:nsid w:val="6CEA0F40"/>
    <w:multiLevelType w:val="multilevel"/>
    <w:tmpl w:val="1CECF74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 w15:restartNumberingAfterBreak="0">
    <w:nsid w:val="70F4187D"/>
    <w:multiLevelType w:val="multilevel"/>
    <w:tmpl w:val="61BA81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6" w15:restartNumberingAfterBreak="0">
    <w:nsid w:val="77F13141"/>
    <w:multiLevelType w:val="multilevel"/>
    <w:tmpl w:val="5DF27DF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79144838"/>
    <w:multiLevelType w:val="multilevel"/>
    <w:tmpl w:val="F350F21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8" w15:restartNumberingAfterBreak="0">
    <w:nsid w:val="7B1808E1"/>
    <w:multiLevelType w:val="multilevel"/>
    <w:tmpl w:val="8154D7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9" w15:restartNumberingAfterBreak="0">
    <w:nsid w:val="7D284A8A"/>
    <w:multiLevelType w:val="multilevel"/>
    <w:tmpl w:val="E52C4F8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0" w15:restartNumberingAfterBreak="0">
    <w:nsid w:val="7F095A01"/>
    <w:multiLevelType w:val="multilevel"/>
    <w:tmpl w:val="786C4A8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2"/>
  </w:num>
  <w:num w:numId="2">
    <w:abstractNumId w:val="9"/>
  </w:num>
  <w:num w:numId="3">
    <w:abstractNumId w:val="11"/>
  </w:num>
  <w:num w:numId="4">
    <w:abstractNumId w:val="34"/>
  </w:num>
  <w:num w:numId="5">
    <w:abstractNumId w:val="3"/>
  </w:num>
  <w:num w:numId="6">
    <w:abstractNumId w:val="15"/>
  </w:num>
  <w:num w:numId="7">
    <w:abstractNumId w:val="33"/>
  </w:num>
  <w:num w:numId="8">
    <w:abstractNumId w:val="23"/>
  </w:num>
  <w:num w:numId="9">
    <w:abstractNumId w:val="26"/>
  </w:num>
  <w:num w:numId="10">
    <w:abstractNumId w:val="29"/>
  </w:num>
  <w:num w:numId="11">
    <w:abstractNumId w:val="25"/>
  </w:num>
  <w:num w:numId="12">
    <w:abstractNumId w:val="1"/>
  </w:num>
  <w:num w:numId="13">
    <w:abstractNumId w:val="13"/>
  </w:num>
  <w:num w:numId="14">
    <w:abstractNumId w:val="30"/>
  </w:num>
  <w:num w:numId="15">
    <w:abstractNumId w:val="38"/>
  </w:num>
  <w:num w:numId="16">
    <w:abstractNumId w:val="17"/>
  </w:num>
  <w:num w:numId="17">
    <w:abstractNumId w:val="5"/>
  </w:num>
  <w:num w:numId="18">
    <w:abstractNumId w:val="14"/>
  </w:num>
  <w:num w:numId="19">
    <w:abstractNumId w:val="36"/>
  </w:num>
  <w:num w:numId="20">
    <w:abstractNumId w:val="27"/>
  </w:num>
  <w:num w:numId="21">
    <w:abstractNumId w:val="7"/>
  </w:num>
  <w:num w:numId="22">
    <w:abstractNumId w:val="20"/>
  </w:num>
  <w:num w:numId="23">
    <w:abstractNumId w:val="32"/>
  </w:num>
  <w:num w:numId="24">
    <w:abstractNumId w:val="16"/>
  </w:num>
  <w:num w:numId="25">
    <w:abstractNumId w:val="37"/>
  </w:num>
  <w:num w:numId="26">
    <w:abstractNumId w:val="10"/>
  </w:num>
  <w:num w:numId="27">
    <w:abstractNumId w:val="18"/>
  </w:num>
  <w:num w:numId="28">
    <w:abstractNumId w:val="0"/>
  </w:num>
  <w:num w:numId="29">
    <w:abstractNumId w:val="39"/>
  </w:num>
  <w:num w:numId="30">
    <w:abstractNumId w:val="2"/>
  </w:num>
  <w:num w:numId="31">
    <w:abstractNumId w:val="35"/>
  </w:num>
  <w:num w:numId="32">
    <w:abstractNumId w:val="8"/>
  </w:num>
  <w:num w:numId="33">
    <w:abstractNumId w:val="40"/>
  </w:num>
  <w:num w:numId="34">
    <w:abstractNumId w:val="6"/>
  </w:num>
  <w:num w:numId="35">
    <w:abstractNumId w:val="12"/>
  </w:num>
  <w:num w:numId="36">
    <w:abstractNumId w:val="4"/>
  </w:num>
  <w:num w:numId="37">
    <w:abstractNumId w:val="31"/>
  </w:num>
  <w:num w:numId="38">
    <w:abstractNumId w:val="19"/>
  </w:num>
  <w:num w:numId="39">
    <w:abstractNumId w:val="28"/>
  </w:num>
  <w:num w:numId="40">
    <w:abstractNumId w:val="24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BB"/>
    <w:rsid w:val="00112C08"/>
    <w:rsid w:val="001554BB"/>
    <w:rsid w:val="0063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839D9"/>
  <w15:docId w15:val="{01416FFB-FA1D-42E4-A695-AA4C5A0B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11.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2855</Characters>
  <Application>Microsoft Office Word</Application>
  <DocSecurity>0</DocSecurity>
  <Lines>23</Lines>
  <Paragraphs>6</Paragraphs>
  <ScaleCrop>false</ScaleCrop>
  <Company>Microsoft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154</cp:revision>
  <dcterms:created xsi:type="dcterms:W3CDTF">2021-12-02T15:09:00Z</dcterms:created>
  <dcterms:modified xsi:type="dcterms:W3CDTF">2026-04-20T09:59:00Z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