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B575D0">
        <w:tc>
          <w:tcPr>
            <w:tcW w:w="5428" w:type="dxa"/>
          </w:tcPr>
          <w:p w:rsidR="00190FF9" w:rsidRPr="00B575D0" w:rsidRDefault="00190FF9" w:rsidP="00603BB4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575D0" w:rsidRPr="00B575D0" w:rsidRDefault="00190FF9" w:rsidP="00603BB4">
            <w:pPr>
              <w:spacing w:line="235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75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B575D0" w:rsidRPr="00B575D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 1</w:t>
            </w:r>
          </w:p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575D0">
              <w:rPr>
                <w:rFonts w:ascii="Times New Roman" w:eastAsiaTheme="minorEastAsia" w:hAnsi="Times New Roman"/>
                <w:sz w:val="28"/>
                <w:szCs w:val="28"/>
              </w:rPr>
              <w:t>к распоряжению Губернатора</w:t>
            </w:r>
          </w:p>
          <w:p w:rsidR="00B575D0" w:rsidRPr="00B575D0" w:rsidRDefault="00B575D0" w:rsidP="00603BB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575D0">
              <w:rPr>
                <w:rFonts w:ascii="Times New Roman" w:eastAsiaTheme="minorEastAsia" w:hAnsi="Times New Roman"/>
                <w:sz w:val="28"/>
                <w:szCs w:val="28"/>
              </w:rPr>
              <w:t>Рязанской области</w:t>
            </w:r>
          </w:p>
        </w:tc>
      </w:tr>
      <w:tr w:rsidR="00B575D0" w:rsidRPr="00B575D0">
        <w:tc>
          <w:tcPr>
            <w:tcW w:w="5428" w:type="dxa"/>
          </w:tcPr>
          <w:p w:rsidR="00B575D0" w:rsidRPr="00B575D0" w:rsidRDefault="00B575D0" w:rsidP="00603BB4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575D0" w:rsidRPr="00B575D0" w:rsidRDefault="002413A2" w:rsidP="00603BB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137-рг</w:t>
            </w:r>
            <w:bookmarkStart w:id="0" w:name="_GoBack"/>
            <w:bookmarkEnd w:id="0"/>
          </w:p>
        </w:tc>
      </w:tr>
      <w:tr w:rsidR="00B575D0" w:rsidRPr="00B575D0">
        <w:tc>
          <w:tcPr>
            <w:tcW w:w="5428" w:type="dxa"/>
          </w:tcPr>
          <w:p w:rsidR="00B575D0" w:rsidRPr="00B575D0" w:rsidRDefault="00B575D0" w:rsidP="00603BB4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575D0" w:rsidRPr="00B575D0" w:rsidRDefault="00B575D0" w:rsidP="00603BB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75D0" w:rsidRPr="00B575D0">
        <w:tc>
          <w:tcPr>
            <w:tcW w:w="5428" w:type="dxa"/>
          </w:tcPr>
          <w:p w:rsidR="00B575D0" w:rsidRPr="00B575D0" w:rsidRDefault="00B575D0" w:rsidP="00603BB4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575D0" w:rsidRPr="00B575D0" w:rsidRDefault="00B575D0" w:rsidP="00603BB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75D0" w:rsidRPr="00B575D0" w:rsidRDefault="00B575D0" w:rsidP="00603BB4">
      <w:pPr>
        <w:widowControl w:val="0"/>
        <w:autoSpaceDE w:val="0"/>
        <w:autoSpaceDN w:val="0"/>
        <w:adjustRightInd w:val="0"/>
        <w:spacing w:line="235" w:lineRule="auto"/>
        <w:rPr>
          <w:rFonts w:ascii="Times New Roman" w:eastAsiaTheme="minorEastAsia" w:hAnsi="Times New Roman"/>
          <w:bCs/>
          <w:sz w:val="22"/>
          <w:szCs w:val="22"/>
        </w:rPr>
      </w:pPr>
    </w:p>
    <w:p w:rsidR="00B575D0" w:rsidRPr="00B575D0" w:rsidRDefault="00B575D0" w:rsidP="00603BB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Times New Roman" w:eastAsiaTheme="minorEastAsia" w:hAnsi="Times New Roman"/>
          <w:bCs/>
          <w:sz w:val="28"/>
          <w:szCs w:val="28"/>
        </w:rPr>
      </w:pPr>
      <w:r w:rsidRPr="00B575D0">
        <w:rPr>
          <w:rFonts w:ascii="Times New Roman" w:eastAsiaTheme="minorEastAsia" w:hAnsi="Times New Roman"/>
          <w:bCs/>
          <w:sz w:val="28"/>
          <w:szCs w:val="28"/>
        </w:rPr>
        <w:t>ПЕРЕЧЕНЬ</w:t>
      </w:r>
    </w:p>
    <w:p w:rsidR="00603BB4" w:rsidRPr="00CF7D57" w:rsidRDefault="00603BB4" w:rsidP="00603BB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Times New Roman" w:eastAsiaTheme="minorEastAsia" w:hAnsi="Times New Roman"/>
          <w:bCs/>
          <w:sz w:val="28"/>
          <w:szCs w:val="28"/>
        </w:rPr>
      </w:pPr>
      <w:r w:rsidRPr="00603BB4">
        <w:rPr>
          <w:rFonts w:ascii="Times New Roman" w:eastAsiaTheme="minorEastAsia" w:hAnsi="Times New Roman"/>
          <w:bCs/>
          <w:sz w:val="28"/>
          <w:szCs w:val="28"/>
        </w:rPr>
        <w:t>отдельных показателей деятельности исполнительных</w:t>
      </w:r>
    </w:p>
    <w:p w:rsidR="00B575D0" w:rsidRPr="00CF7D57" w:rsidRDefault="00603BB4" w:rsidP="00603BB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Times New Roman" w:eastAsiaTheme="minorEastAsia" w:hAnsi="Times New Roman"/>
          <w:bCs/>
          <w:sz w:val="28"/>
          <w:szCs w:val="28"/>
        </w:rPr>
      </w:pPr>
      <w:r w:rsidRPr="00603BB4">
        <w:rPr>
          <w:rFonts w:ascii="Times New Roman" w:eastAsiaTheme="minorEastAsia" w:hAnsi="Times New Roman"/>
          <w:bCs/>
          <w:sz w:val="28"/>
          <w:szCs w:val="28"/>
        </w:rPr>
        <w:t>органов Рязанской области, направленных на обеспечение</w:t>
      </w:r>
    </w:p>
    <w:p w:rsidR="00B575D0" w:rsidRPr="00B575D0" w:rsidRDefault="00603BB4" w:rsidP="00603BB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Times New Roman" w:eastAsiaTheme="minorEastAsia" w:hAnsi="Times New Roman"/>
          <w:bCs/>
          <w:sz w:val="28"/>
          <w:szCs w:val="28"/>
        </w:rPr>
      </w:pPr>
      <w:r w:rsidRPr="00603BB4">
        <w:rPr>
          <w:rFonts w:ascii="Times New Roman" w:eastAsiaTheme="minorEastAsia" w:hAnsi="Times New Roman"/>
          <w:bCs/>
          <w:sz w:val="28"/>
          <w:szCs w:val="28"/>
        </w:rPr>
        <w:t>экономического роста, на 2026 год</w:t>
      </w:r>
    </w:p>
    <w:p w:rsidR="00B575D0" w:rsidRPr="00B575D0" w:rsidRDefault="00B575D0" w:rsidP="00603BB4">
      <w:pPr>
        <w:widowControl w:val="0"/>
        <w:autoSpaceDE w:val="0"/>
        <w:autoSpaceDN w:val="0"/>
        <w:adjustRightInd w:val="0"/>
        <w:spacing w:line="235" w:lineRule="auto"/>
        <w:rPr>
          <w:rFonts w:ascii="Times New Roman" w:eastAsiaTheme="minorEastAsia" w:hAnsi="Times New Roman"/>
          <w:sz w:val="24"/>
          <w:szCs w:val="24"/>
        </w:rPr>
      </w:pPr>
    </w:p>
    <w:tbl>
      <w:tblPr>
        <w:tblStyle w:val="10"/>
        <w:tblW w:w="9526" w:type="dxa"/>
        <w:tblInd w:w="-34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3"/>
        <w:gridCol w:w="1443"/>
      </w:tblGrid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3" w:type="dxa"/>
          </w:tcPr>
          <w:p w:rsidR="00603BB4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Целевое значение</w:t>
            </w:r>
          </w:p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на 2026 год</w:t>
            </w:r>
          </w:p>
        </w:tc>
      </w:tr>
    </w:tbl>
    <w:p w:rsidR="00603BB4" w:rsidRPr="00603BB4" w:rsidRDefault="00603BB4" w:rsidP="00603BB4">
      <w:pPr>
        <w:spacing w:line="235" w:lineRule="auto"/>
        <w:rPr>
          <w:rFonts w:ascii="Times New Roman" w:hAnsi="Times New Roman"/>
          <w:sz w:val="2"/>
          <w:szCs w:val="2"/>
        </w:rPr>
      </w:pPr>
    </w:p>
    <w:tbl>
      <w:tblPr>
        <w:tblStyle w:val="10"/>
        <w:tblW w:w="95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083"/>
        <w:gridCol w:w="1443"/>
      </w:tblGrid>
      <w:tr w:rsidR="00B575D0" w:rsidRPr="00B575D0" w:rsidTr="00603BB4">
        <w:trPr>
          <w:trHeight w:val="170"/>
          <w:tblHeader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  <w:tr w:rsidR="00B575D0" w:rsidRPr="00B575D0" w:rsidTr="00603BB4">
        <w:trPr>
          <w:trHeight w:val="20"/>
        </w:trPr>
        <w:tc>
          <w:tcPr>
            <w:tcW w:w="9526" w:type="dxa"/>
            <w:gridSpan w:val="2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Министерство экономического развития Рязанской области</w:t>
            </w:r>
          </w:p>
        </w:tc>
      </w:tr>
      <w:tr w:rsidR="00B575D0" w:rsidRPr="00B575D0" w:rsidTr="00603BB4">
        <w:trPr>
          <w:trHeight w:val="528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по виду экономической деятельности «обрабатывающие производства»,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792,2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Индекс промышленного производства по виду экономической деятельности «обрабатывающие производства», %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104,0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Оборот розничной торговли,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417,1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Индекс физического объема оборота розничной торговли, %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102,0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внедренных инструментов Регионального экспортного стандарта, ед.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13,0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Темп роста дохода в расчете на одного работника субъекта малого и среднего предпринимательства, % к 2023 году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111,3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Количество предприятий базовых </w:t>
            </w:r>
            <w:proofErr w:type="spell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несырьевых</w:t>
            </w:r>
            <w:proofErr w:type="spell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отраслей экономики, вовлеченных в реализацию проектов по повышению производительности труда (совместно с РЦК), ед.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117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бытовых услуг,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9,7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Среднемесячная заработная плата одного работника по видам экономической деятельности, тыс. руб.: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«обрабатывающие производства»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98</w:t>
            </w: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«торговля оптовая и розничная; ремонт автотранспортных средств и мотоциклов»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70</w:t>
            </w: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инвестиций в основной капитал по видам экономической деятельности,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руб.: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«обрабатывающие производства»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35,7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«торговля оптовая и розничная; ремонт автотранспортных средств и мотоциклов»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4,1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налоговых доходов в консолидированный бюджет по видам экономической деятельности,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млн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руб.: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«обрабатывающие производства»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22 825,6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«торговля оптовая и розничная; ремонт автотранспортных средств и мотоциклов»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17 423,2</w:t>
            </w:r>
          </w:p>
        </w:tc>
      </w:tr>
      <w:tr w:rsidR="00B575D0" w:rsidRPr="00B575D0" w:rsidTr="00603BB4">
        <w:trPr>
          <w:trHeight w:val="20"/>
        </w:trPr>
        <w:tc>
          <w:tcPr>
            <w:tcW w:w="9526" w:type="dxa"/>
            <w:gridSpan w:val="2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Министерство сельского хозяйства и продовольствия Рязанской области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производства продукции сельского хозяйства,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160,8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Индекс производства продукции сельского хозяйства, %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101,5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hAnsi="Times New Roman" w:cs="Times New Roman"/>
                <w:sz w:val="24"/>
                <w:szCs w:val="24"/>
              </w:rPr>
              <w:t>Доля населения сельских территорий и сельских агломераций в общей численности населения, %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52,07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Среднемесячная заработная плата одного работника по виду экономической деятельности «растениеводство и животноводство, охота и предоставление соответствующих услуг в этих областях», тыс. руб.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84</w:t>
            </w: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,3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инвестиций в основной капитал по виду экономической деятельности «растениеводство и животноводство, охота и предоставление соответствующих услуг в этих областях»,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14,3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налоговых доходов в консолидированный бюджет по виду экономической деятельности «растениеводство и животноводство, охота и предоставление соответствующих услуг в этих областях»,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млн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2 802,6</w:t>
            </w:r>
          </w:p>
        </w:tc>
      </w:tr>
      <w:tr w:rsidR="00B575D0" w:rsidRPr="00B575D0" w:rsidTr="00603BB4">
        <w:trPr>
          <w:trHeight w:val="20"/>
        </w:trPr>
        <w:tc>
          <w:tcPr>
            <w:tcW w:w="9526" w:type="dxa"/>
            <w:gridSpan w:val="2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автомобильных дорог регионального и межмуниципального значения, соответствующих нормативным требованиям, %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50,05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погибших в дорожно-транспортных происшествиях на 10 тысяч транспортных средств, чел.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2,91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транспортных услуг,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7,5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парка общественного транспорта, имеющего срок эксплуатации не старше нормативного, в агломерациях и городах, %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72,98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Среднемесячная заработная плата одного работника по виду экономической деятельности «строительство инженерных сооружений», тыс. руб.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100,2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инвестиций в основной капитал по виду экономической деятельности «строительство инженерных сооружений»,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7,0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налоговых доходов в консолидированный бюджет по виду экономической деятельности «строительство инженерных сооружений»,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млн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766,0</w:t>
            </w:r>
          </w:p>
        </w:tc>
      </w:tr>
      <w:tr w:rsidR="00B575D0" w:rsidRPr="00B575D0" w:rsidTr="00603BB4">
        <w:trPr>
          <w:trHeight w:val="20"/>
        </w:trPr>
        <w:tc>
          <w:tcPr>
            <w:tcW w:w="9526" w:type="dxa"/>
            <w:gridSpan w:val="2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Министерство строительного комплекса Рязанской области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603BB4" w:rsidRPr="00CF7D57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работ, выполненных по виду деятельности «строительство», </w:t>
            </w:r>
          </w:p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117,5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Индекс физического объема работ, выполненных по виду деятельности «строительство», %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106,1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семей, улучшивших жилищные условия, тыс. семей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32,82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ввода в эксплуатацию жилой и нежилой недвижимости,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млн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0,864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Качество среды для жизни в опорных населенных пунктах, %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17,07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Среднемесячная заработная плата одного работника по виду экономической деятельности «строительство зданий», тыс. руб.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68,0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инвестиций в основной капитал по виду экономической деятельности «строительство» (за исключением «строительство инженерных сооружений»),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налоговых доходов в консолидированный бюджет по виду экономической деятельности «строительство зданий»,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млн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1 916,1</w:t>
            </w:r>
          </w:p>
        </w:tc>
      </w:tr>
      <w:tr w:rsidR="00B575D0" w:rsidRPr="00B575D0" w:rsidTr="00603BB4">
        <w:trPr>
          <w:trHeight w:val="20"/>
        </w:trPr>
        <w:tc>
          <w:tcPr>
            <w:tcW w:w="9526" w:type="dxa"/>
            <w:gridSpan w:val="2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Министерство топливно-энергетического комплекса</w:t>
            </w:r>
            <w:r w:rsidR="00603BB4" w:rsidRPr="00603BB4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и жилищно-коммунального хозяйства Рязанской области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по виду экономической деятельности,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руб.: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«обеспечение электрической энергией, газом и паром; кондиционирование воздуха»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87,4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«водоснабжение; водоотведение, организация сбора и утилизации отходов, деятельность по ликвидации загрязнений»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17,7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Индекс промышленного производства по видам экономической деятельности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, %:</w:t>
            </w:r>
            <w:proofErr w:type="gramEnd"/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«обеспечение электрической энергией, газом и паром; кондиционирование воздуха»</w:t>
            </w:r>
          </w:p>
        </w:tc>
        <w:tc>
          <w:tcPr>
            <w:tcW w:w="1443" w:type="dxa"/>
          </w:tcPr>
          <w:p w:rsidR="00B575D0" w:rsidRPr="00B575D0" w:rsidRDefault="00B575D0" w:rsidP="00603BB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101,1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«водоснабжение; водоотведение, организация сбора и утилизации отходов, деятельность по ликвидации загрязнений»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101,5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благоустроенных общественных территорий, ед.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коммунальных услуг,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31,9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Среднемесячная заработная плата одного работника по видам экономической деятельности, тыс. руб.: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«обеспечение электрической энергией, газом и паром; кондиционирование воздуха»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85,1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«водоснабжение; водоотведение, организация сбора и утилизации отходов, деятельность по ликвидации загрязнений»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56,6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инвестиций в основной капитал по видам экономической деятельности,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руб.: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«обеспечение электрической энергией, газом и паром; кондиционирование воздуха»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7,2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«водоснабжение; водоотведение, организация сбора и утилизации отходов, деятельность по ликвидации загрязнений»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0,9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налоговых доходов в консолидированный бюджет по видам экономической деятельности,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млн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руб.: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«обеспечение электрической энергией, газом и паром; кондиционирование воздуха»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3 485,4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«водоснабжение; водоотведение, организация сбора и утилизации отходов, деятельность по ликвидации загрязнений»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575,6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семей, улучшивших жилищные условия за счет проведения капитального ремонта, тыс. семей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5 300</w:t>
            </w:r>
          </w:p>
        </w:tc>
      </w:tr>
      <w:tr w:rsidR="00B575D0" w:rsidRPr="00B575D0" w:rsidTr="00603BB4">
        <w:trPr>
          <w:trHeight w:val="20"/>
        </w:trPr>
        <w:tc>
          <w:tcPr>
            <w:tcW w:w="9526" w:type="dxa"/>
            <w:gridSpan w:val="2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Министерство природопользования Рязанской области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по виду экономической деятельности «добыча полезных ископаемых»,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3,3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Индекс промышленного производства по виду экономической деятельности «добыча полезных ископаемых», %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102,3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лесовосстановления</w:t>
            </w:r>
            <w:proofErr w:type="spell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, тыс. га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3,811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лесных пожаров, ликвидированных в течение первых суток с момента обнаружения, в общем количестве лесных пожаров, %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82,0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Среднемесячная заработная плата одного работника по виду экономической деятельности «добыча полезных ископаемых», тыс. руб.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81,0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инвестиций в основной капитал по виду экономической деятельности «добыча полезных ископаемых»,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0,1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налоговых доходов в консолидированный бюджет по виду экономической деятельности «добыча полезных ископаемых»,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млн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241,9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Качество окружающей среды, %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108,3</w:t>
            </w:r>
          </w:p>
        </w:tc>
      </w:tr>
      <w:tr w:rsidR="00B575D0" w:rsidRPr="00B575D0" w:rsidTr="00603BB4">
        <w:trPr>
          <w:trHeight w:val="20"/>
        </w:trPr>
        <w:tc>
          <w:tcPr>
            <w:tcW w:w="9526" w:type="dxa"/>
            <w:gridSpan w:val="2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Министерство цифрового развития, информационных</w:t>
            </w:r>
            <w:r w:rsidR="00603BB4" w:rsidRPr="00603BB4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технологий</w:t>
            </w:r>
            <w:r w:rsidR="00603B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</w:t>
            </w:r>
            <w:r w:rsidR="00603BB4" w:rsidRPr="00603B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связи Рязанской области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«Цифровая зрелость» государственного и муниципального управления, ключевых отраслей экономики и социальной сферы Рязанской области, в том числе здравоохранения и образования, %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50,6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CF7D57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</w:pPr>
            <w:r w:rsidRPr="00CF7D57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  <w:t>Доля массовых социально значимых услуг, доступных в электронном виде, %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97,0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телекоммуникационных услуг,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14,4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услуг почтовой связи и курьерских услуг,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0,6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Среднемесячная заработная плата одного работника по виду экономической деятельности «деятельность в области информации и связи», тыс. руб.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114,7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Объем инвестиций в основной капитал по виду экономической деятельности «деятельность в области информации и связи»,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3,1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налоговых доходов в консолидированный бюджет по виду экономической деятельности «деятельность в области информации и связи»,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млн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2 271,4</w:t>
            </w:r>
          </w:p>
        </w:tc>
      </w:tr>
      <w:tr w:rsidR="00B575D0" w:rsidRPr="00B575D0" w:rsidTr="00603BB4">
        <w:trPr>
          <w:trHeight w:val="20"/>
        </w:trPr>
        <w:tc>
          <w:tcPr>
            <w:tcW w:w="9526" w:type="dxa"/>
            <w:gridSpan w:val="2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Министерство здравоохранения Рязанской области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Смертность от болезней системы кровообращения, случаев на 100 тыс. населения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651,1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Смертность от новообразований (в том числе от злокачественных), случаев на 100 тыс. населения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217,3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Младенческая смертность, на 1000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4,5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603BB4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чел.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на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10 тыс. населения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45,9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Охват населения профилактическими медицинскими осмотрами, %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70,0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платных медицинских услуг,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9,8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Среднемесячная заработная плата одного работника по виду экономической деятельности «деятельность в области здравоохранения и социальных услуг», тыс. руб.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66,6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инвестиций в основной капитал по виду экономической деятельности «деятельность в области здравоохранения и социальных услуг»,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3,0</w:t>
            </w:r>
          </w:p>
        </w:tc>
      </w:tr>
      <w:tr w:rsidR="00B575D0" w:rsidRPr="00B575D0" w:rsidTr="00603BB4">
        <w:trPr>
          <w:trHeight w:val="20"/>
        </w:trPr>
        <w:tc>
          <w:tcPr>
            <w:tcW w:w="9526" w:type="dxa"/>
            <w:gridSpan w:val="2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Министерство образования Рязанской области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Удельный вес численности обучающихся в общеобразовательных организациях, занимающихся в одну смену, %</w:t>
            </w:r>
            <w:proofErr w:type="gramEnd"/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93,2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603BB4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Доступность дошкольного образования для детей в возрастной группе </w:t>
            </w:r>
          </w:p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от 2 месяцев до 8 лет, %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100,0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CF7D57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детей в возрасте 5-</w:t>
            </w:r>
            <w:r w:rsidR="00B575D0"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18 лет, охваченных программами дополнительного образования, %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84,4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Эффективность системы выявления, поддержки и развития способностей и талантов у детей и молодежи, %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44,26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платных услуг системы образования,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5,4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Среднемесячная заработная плата одного работника по виду экономической деятельности «образование», тыс. руб.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57,6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инвестиций в основной капитал по виду экономической деятельности «образование»,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8,0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образования, %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64,55</w:t>
            </w:r>
          </w:p>
        </w:tc>
      </w:tr>
      <w:tr w:rsidR="00B575D0" w:rsidRPr="00B575D0" w:rsidTr="00603BB4">
        <w:trPr>
          <w:trHeight w:val="20"/>
        </w:trPr>
        <w:tc>
          <w:tcPr>
            <w:tcW w:w="9526" w:type="dxa"/>
            <w:gridSpan w:val="2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Среднемесячная заработная плата одного работника, тыс. руб.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80,3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Темп роста реальной заработной платы, %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102,7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регистрируемой безработицы, %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0,4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бедности, %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8,7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платных услуг, предоставляемых гражданам пожилого возраста и инвалидам,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0,4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граждан старше трудоспособного возраста и инвалидов, получающих услуги в рамках системы долговременного ухода, от общего числа граждан старше трудоспособного возраста и инвалидов, нуждающихся в долговременном уходе, %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26,9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Суммарный коэффициент рождаемости</w:t>
            </w:r>
            <w:r w:rsidR="00CF7D5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B00BEC" w:rsidRPr="002C33FD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‰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1,145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Число родившихся, чел.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6 218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населения Рязанской области, тыс. чел.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1065,0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Темп роста (индекс роста) реального среднедушевого денежного дохода населения, % к 2020 году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139,4</w:t>
            </w:r>
          </w:p>
        </w:tc>
      </w:tr>
      <w:tr w:rsidR="00B575D0" w:rsidRPr="00B575D0" w:rsidTr="00603BB4">
        <w:trPr>
          <w:trHeight w:val="20"/>
        </w:trPr>
        <w:tc>
          <w:tcPr>
            <w:tcW w:w="9526" w:type="dxa"/>
            <w:gridSpan w:val="2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Министерство культуры Рязанской области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Число посещений культурных мероприятий, тыс. чел.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27 133,8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Число посещений музеев, тыс. чел.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1 625,4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Число посещений культурно-досуговых учреждений, театров, концертных организаций, тыс. чел.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8 010,0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Число посещений библиотек, тыс. чел.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10 368,9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платных услуг учреждений культуры,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1,8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Среднемесячная заработная плата одного работника по видам экономической деятельности, тыс. руб.: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«деятельность творческая, деятельность в области искусства и организации развлечений»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67,6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«деятельность библиотек, архивов, музеев и прочих объектов культуры»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61,9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инвестиций в основной капитал по виду экономической деятельности «деятельность в области культуры, спорта, организации досуга и развлечений» (за исключением «деятельность в области спорта, отдыха и развлечений»),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0,7</w:t>
            </w:r>
          </w:p>
        </w:tc>
      </w:tr>
      <w:tr w:rsidR="00B575D0" w:rsidRPr="00B575D0" w:rsidTr="00603BB4">
        <w:trPr>
          <w:trHeight w:val="20"/>
        </w:trPr>
        <w:tc>
          <w:tcPr>
            <w:tcW w:w="9526" w:type="dxa"/>
            <w:gridSpan w:val="2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спортом, %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60,0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64,0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платных услуг физической культуры и спорта,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0,7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603BB4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Среднемесячная заработная плата одного работника по виду экономической деятельности «деятельность в области спорта, отдыха и развлечений», </w:t>
            </w:r>
          </w:p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63,7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603BB4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инвестиций в основной капитал по виду экономической деятельности «деятельность в области спорта, отдыха и развлечений», </w:t>
            </w:r>
          </w:p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  <w:shd w:val="clear" w:color="auto" w:fill="auto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0,5</w:t>
            </w:r>
          </w:p>
        </w:tc>
      </w:tr>
      <w:tr w:rsidR="00B575D0" w:rsidRPr="00B575D0" w:rsidTr="00603BB4">
        <w:trPr>
          <w:trHeight w:val="20"/>
        </w:trPr>
        <w:tc>
          <w:tcPr>
            <w:tcW w:w="9526" w:type="dxa"/>
            <w:gridSpan w:val="2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Министерство финансов Рязанской области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Исполнение поступлений налоговых и неналоговых </w:t>
            </w:r>
            <w:hyperlink r:id="rId10" w:history="1">
              <w:r w:rsidRPr="00B575D0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доходов</w:t>
              </w:r>
            </w:hyperlink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областного бюджета, утвержденных Законом Рязанской области «Об областном бюджете на 2025 год и на плановый период 2026 и 2027 годов», %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Отношение общего объема государственного долга Рязанской области (без учета допустимого превышения, установленного бюджетным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законодатель</w:t>
            </w:r>
            <w:r w:rsidR="00CF7D5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proofErr w:type="spell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ством</w:t>
            </w:r>
            <w:proofErr w:type="spellEnd"/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Российской Федерации) к общему годовому объему доходов областного бюджета без учета объема безвозмездных поступлений, %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Удельный вес расходов на обслуживание государственного долга Рязанской области в общем объеме расходов областного бюджета, за исключением объема расходов, которые осуществляются за счет субвенций, предоставляемых из федерального бюджета, %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B575D0" w:rsidRPr="00B575D0" w:rsidTr="00603BB4">
        <w:trPr>
          <w:trHeight w:val="20"/>
        </w:trPr>
        <w:tc>
          <w:tcPr>
            <w:tcW w:w="9526" w:type="dxa"/>
            <w:gridSpan w:val="2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Министерство имущественных и земельных отношений Рязанской области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Экономия бюджетных средств путем централизации общественных закупок товаров (работ, услуг) для заказчиков Рязанской области, %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4,0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854498" w:rsidRDefault="00B575D0" w:rsidP="00B0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Доля вовлеченных в хозяйственный оборот объектов недвижимости, находящихся в государственной собственности Рязанской области, от общего количества объектов недвижимости, находящихся в государственной собственности Рязанской области, </w:t>
            </w:r>
            <w:r w:rsidR="00B00BEC">
              <w:rPr>
                <w:rFonts w:ascii="Times New Roman" w:eastAsiaTheme="minorEastAsia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97,0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Доля объектов недвижимости, в отношении которых осуществлена государственная регистрация права собственности Рязанской области, % от запланированного количества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100,0</w:t>
            </w:r>
          </w:p>
        </w:tc>
      </w:tr>
      <w:tr w:rsidR="00B575D0" w:rsidRPr="00B575D0" w:rsidTr="00603BB4">
        <w:trPr>
          <w:trHeight w:val="20"/>
        </w:trPr>
        <w:tc>
          <w:tcPr>
            <w:tcW w:w="9526" w:type="dxa"/>
            <w:gridSpan w:val="2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Министерство территориальной политики Рязанской области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реализованных инициативных проектов (проектов местных инициатив), ед.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159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граждан, положительно оценивающих состояние межнациональных (межэтнических) и межконфессиональных отношений, в общем количестве граждан, проживающих на территории Рязанской области, %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87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CF7D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Количество социально ориентированных некоммерческих организаций (далее </w:t>
            </w:r>
            <w:r w:rsidR="00CF7D57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СОНКО), получивших государственную поддержку, ед.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Доля СОНКО,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государственную поддержку, от общего количества СОНКО, зарегистрированных в Рязанской области, %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старост сельских населенных пунктов Рязанской области, получивших поддержку из областного бюджета на обеспечение гарантий деятельности старост, чел.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184</w:t>
            </w:r>
          </w:p>
        </w:tc>
      </w:tr>
      <w:tr w:rsidR="00B575D0" w:rsidRPr="00B575D0" w:rsidTr="00603BB4">
        <w:trPr>
          <w:trHeight w:val="20"/>
        </w:trPr>
        <w:tc>
          <w:tcPr>
            <w:tcW w:w="9526" w:type="dxa"/>
            <w:gridSpan w:val="2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Комитет инвестиций и туризма Рязанской области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инвестиций в основной капитал,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157,8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% к 2020 году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143,9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4F3E35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платных услуг гостиниц и аналогичных средств размещения, </w:t>
            </w:r>
          </w:p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 руб.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3,0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 туристско-экскурсионного потока, тыс. чел.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700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Среднемесячная заработная плата одного работника по виду экономической деятельности «деятельность по предоставлению мест для временного проживания», тыс. руб.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62,4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инвестиций в основной капитал по виду экономической деятельности «деятельность по предоставлению мест для временного проживания»,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млрд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1,5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налоговых доходов в консолидированный бюджет по виду экономической деятельности «деятельность по предоставлению мест для временного проживания», </w:t>
            </w:r>
            <w:proofErr w:type="gramStart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млн</w:t>
            </w:r>
            <w:proofErr w:type="gramEnd"/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171,1</w:t>
            </w:r>
          </w:p>
        </w:tc>
      </w:tr>
      <w:tr w:rsidR="00B575D0" w:rsidRPr="00B575D0" w:rsidTr="00603BB4">
        <w:trPr>
          <w:trHeight w:val="20"/>
        </w:trPr>
        <w:tc>
          <w:tcPr>
            <w:tcW w:w="9526" w:type="dxa"/>
            <w:gridSpan w:val="2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Комитет по делам молодежи Рязанской области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молодых людей, охваченных проектами и программами в сфере молодежной политики, %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62,0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Охват молодежи мероприятиями, проводимыми на базе инфраструктуры молодежной политики, %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42,0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молодых людей, участвующих в проектах и программах, направленных на патриотическое воспитание, %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53,5</w:t>
            </w:r>
          </w:p>
        </w:tc>
      </w:tr>
      <w:tr w:rsidR="00B575D0" w:rsidRPr="00B575D0" w:rsidTr="00603BB4">
        <w:trPr>
          <w:trHeight w:val="20"/>
        </w:trPr>
        <w:tc>
          <w:tcPr>
            <w:tcW w:w="808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молодых людей, вовлеченных в добровольческую и общественную деятельность, %</w:t>
            </w:r>
          </w:p>
        </w:tc>
        <w:tc>
          <w:tcPr>
            <w:tcW w:w="1443" w:type="dxa"/>
          </w:tcPr>
          <w:p w:rsidR="00B575D0" w:rsidRPr="00B575D0" w:rsidRDefault="00B575D0" w:rsidP="00B57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75D0">
              <w:rPr>
                <w:rFonts w:ascii="Times New Roman" w:eastAsiaTheme="minorEastAsia" w:hAnsi="Times New Roman" w:cs="Times New Roman"/>
                <w:sz w:val="24"/>
                <w:szCs w:val="24"/>
              </w:rPr>
              <w:t>32,0</w:t>
            </w:r>
          </w:p>
        </w:tc>
      </w:tr>
    </w:tbl>
    <w:p w:rsidR="00B575D0" w:rsidRPr="00B575D0" w:rsidRDefault="00B575D0" w:rsidP="00B575D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2"/>
          <w:szCs w:val="22"/>
        </w:rPr>
      </w:pPr>
    </w:p>
    <w:p w:rsidR="00B575D0" w:rsidRDefault="00B575D0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B575D0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586" w:rsidRDefault="00870586">
      <w:r>
        <w:separator/>
      </w:r>
    </w:p>
  </w:endnote>
  <w:endnote w:type="continuationSeparator" w:id="0">
    <w:p w:rsidR="00870586" w:rsidRDefault="0087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586" w:rsidRDefault="00870586">
      <w:r>
        <w:separator/>
      </w:r>
    </w:p>
  </w:footnote>
  <w:footnote w:type="continuationSeparator" w:id="0">
    <w:p w:rsidR="00870586" w:rsidRDefault="00870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2413A2">
      <w:rPr>
        <w:rFonts w:ascii="Times New Roman" w:hAnsi="Times New Roman"/>
        <w:noProof/>
        <w:sz w:val="24"/>
        <w:szCs w:val="24"/>
      </w:rPr>
      <w:t>6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R4poeXubAfaYw+6nlt29cUG1+A=" w:salt="GYQ+EBvv91ygBAJaE7BT+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13A2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3E35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6632F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3BB4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B761F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54498"/>
    <w:rsid w:val="008702D3"/>
    <w:rsid w:val="00870586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0BEC"/>
    <w:rsid w:val="00B02207"/>
    <w:rsid w:val="00B03403"/>
    <w:rsid w:val="00B10324"/>
    <w:rsid w:val="00B376B1"/>
    <w:rsid w:val="00B575D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CF7D57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575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575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3&amp;n=458317&amp;dst=10038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2026-04-07T14:42:00Z</cp:lastPrinted>
  <dcterms:created xsi:type="dcterms:W3CDTF">2026-04-06T10:03:00Z</dcterms:created>
  <dcterms:modified xsi:type="dcterms:W3CDTF">2026-04-09T06:28:00Z</dcterms:modified>
</cp:coreProperties>
</file>