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FA" w:rsidRDefault="00B24DC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DFA" w:rsidRDefault="00B24D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C0DFA" w:rsidRDefault="00B24D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7C0DFA" w:rsidRDefault="007C0DF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C0DFA" w:rsidRDefault="007C0DF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C0DFA" w:rsidRDefault="00B24DC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C0DFA" w:rsidRDefault="007C0DFA">
      <w:pPr>
        <w:tabs>
          <w:tab w:val="left" w:pos="709"/>
        </w:tabs>
        <w:jc w:val="center"/>
        <w:rPr>
          <w:sz w:val="28"/>
        </w:rPr>
      </w:pPr>
    </w:p>
    <w:p w:rsidR="007C0DFA" w:rsidRDefault="007C0DFA">
      <w:pPr>
        <w:tabs>
          <w:tab w:val="left" w:pos="709"/>
        </w:tabs>
        <w:jc w:val="center"/>
        <w:rPr>
          <w:sz w:val="28"/>
        </w:rPr>
      </w:pPr>
    </w:p>
    <w:p w:rsidR="007C0DFA" w:rsidRDefault="00B24DC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D61CC">
        <w:rPr>
          <w:sz w:val="28"/>
        </w:rPr>
        <w:t>07</w:t>
      </w:r>
      <w:r>
        <w:rPr>
          <w:sz w:val="28"/>
        </w:rPr>
        <w:t>»</w:t>
      </w:r>
      <w:r w:rsidR="008D61CC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8D61CC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8D61CC">
        <w:rPr>
          <w:sz w:val="28"/>
        </w:rPr>
        <w:t>252-п</w:t>
      </w:r>
    </w:p>
    <w:p w:rsidR="007C0DFA" w:rsidRDefault="007C0DF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7"/>
      </w:tblGrid>
      <w:tr w:rsidR="007C0DF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FA" w:rsidRDefault="007C0DFA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7C0DFA" w:rsidRDefault="00B24DCC">
            <w:pPr>
              <w:tabs>
                <w:tab w:val="left" w:pos="709"/>
              </w:tabs>
              <w:spacing w:line="250" w:lineRule="auto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Тумское городское поселение Клепиковского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7C0DFA" w:rsidRDefault="007C0DFA">
            <w:pPr>
              <w:tabs>
                <w:tab w:val="left" w:pos="709"/>
              </w:tabs>
              <w:spacing w:line="250" w:lineRule="auto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C0DF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FA" w:rsidRDefault="00B24DCC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 обращения администрации Клепиковского муниципального округа Рязанской области,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</w:t>
            </w:r>
            <w:r>
              <w:rPr>
                <w:sz w:val="28"/>
              </w:rPr>
              <w:br/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>02.03.2026 и 27.03.2026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  <w:bookmarkStart w:id="0" w:name="undefined"/>
            <w:bookmarkEnd w:id="0"/>
          </w:p>
          <w:p w:rsidR="007C0DFA" w:rsidRDefault="00B24DCC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 Приступить к подготовке проекта внесения изменений в правила землепользования и застройки муниципального образования </w:t>
            </w:r>
            <w:r>
              <w:rPr>
                <w:sz w:val="28"/>
                <w:szCs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Тумское городское поселение Клепиковского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>, утвержденные решением Совета депутатов муниципального образования – Клепиковский муниципальный район Рязанской области от 29.03.2011 № 14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«Об утверждении проекта Правил землепользования и застройки территории муниципального образования – Тумское городское поселение» (в редакции решений Совета депутатов муниципального образования – Тумское городское поселение Клепиковского муниципального района от 19.11.2013 № 57,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от 24.09.2014 № 40, от 24.02.2016 № 10, решений Думы Клепиковского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муниципального района Рязанской области от 26.01.2017 № 24, от 23.11.2017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№ 108, от 21.02.2019 № 13,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постановления Главархитектуры Рязанской области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от 03.02.2026 № 65-п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)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в части:</w:t>
            </w:r>
          </w:p>
          <w:p w:rsidR="007C0DFA" w:rsidRDefault="00B24DCC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 дополнения перечня видов разрешенного использования территориальной зоны О-4 «Зона спортивных сооружений» условно разрешенным видом «здравоохранение (3.4)»;</w:t>
            </w:r>
          </w:p>
          <w:p w:rsidR="007C0DFA" w:rsidRDefault="00B24DCC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 установления для вида разрешенного использования «здравоохранение (3.4)» территориальной зоны О-4 «Зона спортивных сооружений» следующих предельных размеров земельных участков, в том числе их площади,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и предельных параметров разрешенного строительства, реконструкции объектов капитального строительства: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847"/>
              <w:gridCol w:w="935"/>
              <w:gridCol w:w="847"/>
              <w:gridCol w:w="935"/>
              <w:gridCol w:w="2005"/>
              <w:gridCol w:w="1698"/>
              <w:gridCol w:w="1333"/>
              <w:gridCol w:w="298"/>
            </w:tblGrid>
            <w:tr w:rsidR="007C0DFA">
              <w:trPr>
                <w:trHeight w:val="1341"/>
              </w:trPr>
              <w:tc>
                <w:tcPr>
                  <w:tcW w:w="916" w:type="dxa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Код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вида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ра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зре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шен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ного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испо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льзо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вания</w:t>
                  </w:r>
                </w:p>
              </w:tc>
              <w:tc>
                <w:tcPr>
                  <w:tcW w:w="1781" w:type="dxa"/>
                  <w:gridSpan w:val="2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Размер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земельного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участка (м)</w:t>
                  </w:r>
                </w:p>
              </w:tc>
              <w:tc>
                <w:tcPr>
                  <w:tcW w:w="1781" w:type="dxa"/>
                  <w:gridSpan w:val="2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Площадь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земельного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участка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(кв. м)</w:t>
                  </w:r>
                </w:p>
              </w:tc>
              <w:tc>
                <w:tcPr>
                  <w:tcW w:w="2004" w:type="dxa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Минимальный отступ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от границ земельного участка (м)</w:t>
                  </w:r>
                </w:p>
              </w:tc>
              <w:tc>
                <w:tcPr>
                  <w:tcW w:w="1698" w:type="dxa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Предельное количество этажей / предельная высота зданий, строений, сооружений (м)</w:t>
                  </w:r>
                </w:p>
              </w:tc>
              <w:tc>
                <w:tcPr>
                  <w:tcW w:w="1333" w:type="dxa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Макси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мальный процент застрой</w:t>
                  </w:r>
                </w:p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ки в границах земель</w:t>
                  </w: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br/>
                    <w:t>ного участка (%)</w:t>
                  </w:r>
                </w:p>
              </w:tc>
              <w:tc>
                <w:tcPr>
                  <w:tcW w:w="298" w:type="dxa"/>
                  <w:vMerge w:val="restart"/>
                  <w:tcBorders>
                    <w:top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7C0DFA" w:rsidRDefault="007C0DFA">
                  <w:pPr>
                    <w:spacing w:line="250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7C0DFA">
              <w:trPr>
                <w:trHeight w:val="2002"/>
              </w:trPr>
              <w:tc>
                <w:tcPr>
                  <w:tcW w:w="916" w:type="dxa"/>
                  <w:vMerge/>
                </w:tcPr>
                <w:p w:rsidR="007C0DFA" w:rsidRDefault="007C0DFA"/>
              </w:tc>
              <w:tc>
                <w:tcPr>
                  <w:tcW w:w="847" w:type="dxa"/>
                  <w:vMerge w:val="restart"/>
                </w:tcPr>
                <w:p w:rsidR="007C0DFA" w:rsidRDefault="00B24DCC">
                  <w:pPr>
                    <w:spacing w:line="25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Мин.</w:t>
                  </w:r>
                </w:p>
              </w:tc>
              <w:tc>
                <w:tcPr>
                  <w:tcW w:w="935" w:type="dxa"/>
                  <w:vMerge w:val="restart"/>
                </w:tcPr>
                <w:p w:rsidR="007C0DFA" w:rsidRDefault="00B24DCC">
                  <w:pPr>
                    <w:spacing w:line="25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Макс.</w:t>
                  </w:r>
                </w:p>
              </w:tc>
              <w:tc>
                <w:tcPr>
                  <w:tcW w:w="847" w:type="dxa"/>
                  <w:vMerge w:val="restart"/>
                </w:tcPr>
                <w:p w:rsidR="007C0DFA" w:rsidRDefault="00B24DCC">
                  <w:pPr>
                    <w:spacing w:line="25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Мин.</w:t>
                  </w:r>
                </w:p>
              </w:tc>
              <w:tc>
                <w:tcPr>
                  <w:tcW w:w="935" w:type="dxa"/>
                  <w:vMerge w:val="restart"/>
                </w:tcPr>
                <w:p w:rsidR="007C0DFA" w:rsidRDefault="00B24DCC">
                  <w:pPr>
                    <w:spacing w:line="25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Макс.</w:t>
                  </w:r>
                </w:p>
              </w:tc>
              <w:tc>
                <w:tcPr>
                  <w:tcW w:w="2004" w:type="dxa"/>
                  <w:vMerge/>
                </w:tcPr>
                <w:p w:rsidR="007C0DFA" w:rsidRDefault="007C0DFA"/>
              </w:tc>
              <w:tc>
                <w:tcPr>
                  <w:tcW w:w="1698" w:type="dxa"/>
                  <w:vMerge/>
                </w:tcPr>
                <w:p w:rsidR="007C0DFA" w:rsidRDefault="007C0DFA"/>
              </w:tc>
              <w:tc>
                <w:tcPr>
                  <w:tcW w:w="1333" w:type="dxa"/>
                  <w:vMerge/>
                </w:tcPr>
                <w:p w:rsidR="007C0DFA" w:rsidRDefault="007C0DFA"/>
              </w:tc>
              <w:tc>
                <w:tcPr>
                  <w:tcW w:w="298" w:type="dxa"/>
                  <w:tcBorders>
                    <w:top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7C0DFA" w:rsidRDefault="007C0DFA">
                  <w:pPr>
                    <w:spacing w:line="250" w:lineRule="auto"/>
                  </w:pPr>
                </w:p>
              </w:tc>
            </w:tr>
            <w:tr w:rsidR="007C0DFA">
              <w:trPr>
                <w:trHeight w:val="335"/>
              </w:trPr>
              <w:tc>
                <w:tcPr>
                  <w:tcW w:w="9513" w:type="dxa"/>
                  <w:gridSpan w:val="8"/>
                  <w:vMerge w:val="restart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Условно разрешенные виды использования</w:t>
                  </w:r>
                </w:p>
              </w:tc>
              <w:tc>
                <w:tcPr>
                  <w:tcW w:w="298" w:type="dxa"/>
                  <w:tcBorders>
                    <w:top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7C0DFA" w:rsidRDefault="007C0DFA">
                  <w:pPr>
                    <w:spacing w:line="250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7C0DFA">
              <w:trPr>
                <w:trHeight w:val="335"/>
              </w:trPr>
              <w:tc>
                <w:tcPr>
                  <w:tcW w:w="916" w:type="dxa"/>
                </w:tcPr>
                <w:p w:rsidR="007C0DFA" w:rsidRDefault="00B24DCC">
                  <w:pPr>
                    <w:spacing w:line="250" w:lineRule="auto"/>
                    <w:jc w:val="center"/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847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НПУ</w:t>
                  </w:r>
                </w:p>
              </w:tc>
              <w:tc>
                <w:tcPr>
                  <w:tcW w:w="935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НПУ</w:t>
                  </w:r>
                </w:p>
              </w:tc>
              <w:tc>
                <w:tcPr>
                  <w:tcW w:w="847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1000</w:t>
                  </w:r>
                </w:p>
              </w:tc>
              <w:tc>
                <w:tcPr>
                  <w:tcW w:w="935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НПУ</w:t>
                  </w:r>
                </w:p>
              </w:tc>
              <w:tc>
                <w:tcPr>
                  <w:tcW w:w="2004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НПУ</w:t>
                  </w:r>
                </w:p>
              </w:tc>
              <w:tc>
                <w:tcPr>
                  <w:tcW w:w="1698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НПУ</w:t>
                  </w:r>
                </w:p>
              </w:tc>
              <w:tc>
                <w:tcPr>
                  <w:tcW w:w="1333" w:type="dxa"/>
                </w:tcPr>
                <w:p w:rsidR="007C0DFA" w:rsidRDefault="00B24DCC">
                  <w:pPr>
                    <w:spacing w:line="25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Style w:val="1f1"/>
                      <w:rFonts w:eastAsia="Calibri"/>
                      <w:color w:val="000000" w:themeColor="text1"/>
                      <w:sz w:val="28"/>
                      <w:szCs w:val="28"/>
                      <w:highlight w:val="none"/>
                      <w:lang w:eastAsia="ar-SA"/>
                    </w:rPr>
                    <w:t>60;</w:t>
                  </w:r>
                </w:p>
              </w:tc>
              <w:tc>
                <w:tcPr>
                  <w:tcW w:w="298" w:type="dxa"/>
                  <w:tcBorders>
                    <w:top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7C0DFA" w:rsidRDefault="007C0DFA">
                  <w:pPr>
                    <w:spacing w:line="250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7C0DFA" w:rsidRDefault="00B24DCC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- </w:t>
            </w:r>
            <w:r>
              <w:rPr>
                <w:color w:val="000000" w:themeColor="text1"/>
                <w:sz w:val="28"/>
                <w:szCs w:val="28"/>
              </w:rPr>
              <w:t xml:space="preserve">отнесения </w:t>
            </w:r>
            <w:r>
              <w:rPr>
                <w:sz w:val="28"/>
                <w:szCs w:val="28"/>
                <w:lang w:eastAsia="ar-SA"/>
              </w:rPr>
              <w:t xml:space="preserve">территории в кадастровых кварталах № 62:05:0020121, </w:t>
            </w:r>
            <w:r>
              <w:rPr>
                <w:sz w:val="28"/>
                <w:szCs w:val="28"/>
                <w:lang w:eastAsia="ar-SA"/>
              </w:rPr>
              <w:br/>
              <w:t>№ 62:05:0020122 к территориальной зоне «О-3 Зона учреждений здравоохранения»</w:t>
            </w:r>
            <w:r>
              <w:rPr>
                <w:sz w:val="28"/>
                <w:szCs w:val="28"/>
              </w:rPr>
              <w:t>.</w:t>
            </w:r>
          </w:p>
          <w:p w:rsidR="007C0DFA" w:rsidRDefault="00B24DC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2. </w:t>
            </w: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7C0DFA" w:rsidRDefault="00B24DC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7C0DFA" w:rsidRDefault="00B24DC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4. </w:t>
            </w:r>
            <w:r w:rsidRPr="00C435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7C0DFA" w:rsidRDefault="00B24DCC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C0DFA" w:rsidRDefault="00B24DCC">
            <w:pPr>
              <w:widowControl w:val="0"/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7C0DFA" w:rsidRPr="00C435A7" w:rsidRDefault="00B24DCC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</w:t>
            </w:r>
            <w:r w:rsidRPr="00C435A7"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r w:rsidR="00C435A7">
              <w:rPr>
                <w:sz w:val="28"/>
                <w:szCs w:val="28"/>
              </w:rPr>
              <w:lastRenderedPageBreak/>
              <w:t>разместить </w:t>
            </w:r>
            <w:r w:rsidRPr="00C435A7">
              <w:rPr>
                <w:sz w:val="28"/>
                <w:szCs w:val="28"/>
              </w:rPr>
              <w:t>наст</w:t>
            </w:r>
            <w:r w:rsidR="00C435A7">
              <w:rPr>
                <w:sz w:val="28"/>
                <w:szCs w:val="28"/>
              </w:rPr>
              <w:t>оящее постановление на официальном сайте главного </w:t>
            </w:r>
            <w:r w:rsidRPr="00C435A7">
              <w:rPr>
                <w:sz w:val="28"/>
                <w:szCs w:val="28"/>
              </w:rPr>
              <w:t>управления архитектуры и градостроительства Рязанской области в сети «Интернет».</w:t>
            </w:r>
          </w:p>
          <w:p w:rsidR="007C0DFA" w:rsidRDefault="00B24DC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Клепиковского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C0DFA" w:rsidRDefault="00B24DC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на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7C0DFA" w:rsidRDefault="007C0DFA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7C0DFA" w:rsidRDefault="007C0DFA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C0DF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FA" w:rsidRDefault="00B24DCC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color w:val="auto"/>
                <w:sz w:val="28"/>
                <w:szCs w:val="28"/>
              </w:rPr>
              <w:t xml:space="preserve"> Р.В. Шашкин</w:t>
            </w:r>
          </w:p>
        </w:tc>
      </w:tr>
    </w:tbl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tabs>
          <w:tab w:val="left" w:pos="709"/>
        </w:tabs>
        <w:jc w:val="both"/>
        <w:rPr>
          <w:sz w:val="28"/>
          <w:szCs w:val="28"/>
        </w:rPr>
      </w:pPr>
    </w:p>
    <w:p w:rsidR="007C0DFA" w:rsidRDefault="007C0DFA">
      <w:pPr>
        <w:contextualSpacing/>
        <w:jc w:val="both"/>
        <w:rPr>
          <w:sz w:val="24"/>
        </w:rPr>
      </w:pPr>
    </w:p>
    <w:sectPr w:rsidR="007C0DFA" w:rsidSect="00C435A7">
      <w:headerReference w:type="default" r:id="rId7"/>
      <w:headerReference w:type="firs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E8" w:rsidRDefault="001C3CE8">
      <w:r>
        <w:separator/>
      </w:r>
    </w:p>
  </w:endnote>
  <w:endnote w:type="continuationSeparator" w:id="0">
    <w:p w:rsidR="001C3CE8" w:rsidRDefault="001C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A" w:rsidRDefault="007C0DFA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E8" w:rsidRDefault="001C3CE8">
      <w:r>
        <w:separator/>
      </w:r>
    </w:p>
  </w:footnote>
  <w:footnote w:type="continuationSeparator" w:id="0">
    <w:p w:rsidR="001C3CE8" w:rsidRDefault="001C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A" w:rsidRDefault="00B24DCC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B81A34" w:rsidRPr="00B81A34">
      <w:rPr>
        <w:noProof/>
        <w:sz w:val="28"/>
      </w:rPr>
      <w:t>2</w:t>
    </w:r>
    <w:r>
      <w:rPr>
        <w:sz w:val="28"/>
      </w:rPr>
      <w:fldChar w:fldCharType="end"/>
    </w:r>
  </w:p>
  <w:p w:rsidR="007C0DFA" w:rsidRDefault="007C0DFA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A" w:rsidRDefault="007C0DFA"/>
  <w:p w:rsidR="007C0DFA" w:rsidRDefault="007C0D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FA"/>
    <w:rsid w:val="001C3CE8"/>
    <w:rsid w:val="001D6EDB"/>
    <w:rsid w:val="007C0DFA"/>
    <w:rsid w:val="008D61CC"/>
    <w:rsid w:val="00B24DCC"/>
    <w:rsid w:val="00B81A34"/>
    <w:rsid w:val="00C435A7"/>
    <w:rsid w:val="00F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C431"/>
  <w15:docId w15:val="{95ABCEC1-E619-45BA-8BA7-BFB840FB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171</cp:revision>
  <dcterms:created xsi:type="dcterms:W3CDTF">2020-12-26T06:51:00Z</dcterms:created>
  <dcterms:modified xsi:type="dcterms:W3CDTF">2026-04-07T09:34:00Z</dcterms:modified>
</cp:coreProperties>
</file>