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C5" w:rsidRDefault="004F1758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1C5" w:rsidRDefault="004F1758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C51C5" w:rsidRDefault="004F1758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C51C5" w:rsidRDefault="00DC51C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C51C5" w:rsidRDefault="00DC51C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DC51C5" w:rsidRDefault="004F175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C51C5" w:rsidRDefault="00DC51C5">
      <w:pPr>
        <w:tabs>
          <w:tab w:val="left" w:pos="709"/>
        </w:tabs>
        <w:jc w:val="center"/>
        <w:rPr>
          <w:sz w:val="28"/>
        </w:rPr>
      </w:pPr>
    </w:p>
    <w:p w:rsidR="00DC51C5" w:rsidRDefault="00DC51C5">
      <w:pPr>
        <w:tabs>
          <w:tab w:val="left" w:pos="709"/>
        </w:tabs>
        <w:jc w:val="center"/>
        <w:rPr>
          <w:sz w:val="28"/>
        </w:rPr>
      </w:pPr>
    </w:p>
    <w:p w:rsidR="00DC51C5" w:rsidRDefault="004F175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1187F">
        <w:rPr>
          <w:sz w:val="28"/>
        </w:rPr>
        <w:t>13</w:t>
      </w:r>
      <w:r>
        <w:rPr>
          <w:sz w:val="28"/>
        </w:rPr>
        <w:t>»</w:t>
      </w:r>
      <w:r w:rsidR="00C1187F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</w:t>
      </w:r>
      <w:r w:rsidR="00C1187F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C1187F">
        <w:rPr>
          <w:sz w:val="28"/>
        </w:rPr>
        <w:t>279-п</w:t>
      </w:r>
    </w:p>
    <w:p w:rsidR="00DC51C5" w:rsidRDefault="00DC51C5">
      <w:pPr>
        <w:tabs>
          <w:tab w:val="left" w:pos="709"/>
        </w:tabs>
        <w:jc w:val="both"/>
        <w:rPr>
          <w:sz w:val="28"/>
        </w:rPr>
      </w:pPr>
    </w:p>
    <w:p w:rsidR="00DC51C5" w:rsidRDefault="00DC51C5">
      <w:pPr>
        <w:tabs>
          <w:tab w:val="left" w:pos="709"/>
        </w:tabs>
        <w:jc w:val="both"/>
        <w:rPr>
          <w:sz w:val="28"/>
        </w:rPr>
      </w:pP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jc w:val="center"/>
      </w:pPr>
      <w:r>
        <w:rPr>
          <w:rFonts w:eastAsia="Times New Roman" w:cs="Times New Roman"/>
          <w:sz w:val="28"/>
        </w:rPr>
        <w:t xml:space="preserve">О внесении изменений в постановление главного управления архитектуры 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jc w:val="center"/>
      </w:pPr>
      <w:r>
        <w:rPr>
          <w:rFonts w:eastAsia="Times New Roman" w:cs="Times New Roman"/>
          <w:sz w:val="28"/>
        </w:rPr>
        <w:t xml:space="preserve">и градостроительства Рязанской области от 14.04.2020 № 231-п «Об утверждении административного регламента предоставления государственной услуги «Выдача разрешения на строительство, внесение изменений в разрешение </w:t>
      </w:r>
      <w:r w:rsidR="001E6E5A">
        <w:rPr>
          <w:rFonts w:eastAsia="Times New Roman" w:cs="Times New Roman"/>
          <w:sz w:val="28"/>
        </w:rPr>
        <w:br/>
      </w:r>
      <w:r>
        <w:rPr>
          <w:rFonts w:eastAsia="Times New Roman" w:cs="Times New Roman"/>
          <w:sz w:val="28"/>
        </w:rPr>
        <w:t>на строительство, в том числе в связи с необходимостью продления срока действия разрешения на строительство»</w:t>
      </w:r>
    </w:p>
    <w:p w:rsidR="00DC51C5" w:rsidRDefault="00DC51C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C51C5" w:rsidRDefault="00DC51C5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В соответствии с постановлением Правительства Российской Федерации </w:t>
      </w:r>
      <w:r w:rsidR="001E6E5A">
        <w:rPr>
          <w:rFonts w:eastAsia="Times New Roman" w:cs="Times New Roman"/>
          <w:sz w:val="28"/>
        </w:rPr>
        <w:br/>
      </w:r>
      <w:r>
        <w:rPr>
          <w:rFonts w:eastAsia="Times New Roman" w:cs="Times New Roman"/>
          <w:sz w:val="28"/>
        </w:rPr>
        <w:t>от 20.07.2021 № 1228 «Об утверждении Правил разработки и утверждения административных регламентов предоставления государственных услуг,</w:t>
      </w:r>
      <w:r>
        <w:rPr>
          <w:rFonts w:eastAsia="Times New Roman" w:cs="Times New Roman"/>
          <w:sz w:val="28"/>
        </w:rPr>
        <w:br/>
        <w:t xml:space="preserve">о внесении изменений в некоторые акты Правительства Российской Федерации </w:t>
      </w:r>
      <w:r>
        <w:rPr>
          <w:rFonts w:eastAsia="Times New Roman" w:cs="Times New Roman"/>
          <w:sz w:val="28"/>
        </w:rPr>
        <w:br/>
        <w:t xml:space="preserve">и признании утратившими силу некоторых актов и отдельных положений актов Правительства Российской Федерации», </w:t>
      </w:r>
      <w:r>
        <w:rPr>
          <w:rFonts w:eastAsia="Times New Roman" w:cs="Times New Roman"/>
          <w:sz w:val="28"/>
          <w:szCs w:val="28"/>
        </w:rPr>
        <w:t>постановлением Правительства Рязанской области от 01.09.2025 № 276 «О разработке и утверждении административных регламентов предоставления государственных услуг исполнительными органами Рязанской области»</w:t>
      </w:r>
      <w:r>
        <w:rPr>
          <w:rFonts w:eastAsia="Times New Roman" w:cs="Times New Roman"/>
          <w:sz w:val="28"/>
        </w:rPr>
        <w:t>,</w:t>
      </w:r>
      <w:r>
        <w:rPr>
          <w:rFonts w:eastAsia="Times New Roman" w:cs="Times New Roman"/>
          <w:spacing w:val="2"/>
          <w:sz w:val="28"/>
        </w:rPr>
        <w:t xml:space="preserve"> Законом Рязанской области </w:t>
      </w:r>
      <w:r w:rsidR="001E6E5A">
        <w:rPr>
          <w:rFonts w:eastAsia="Times New Roman" w:cs="Times New Roman"/>
          <w:spacing w:val="2"/>
          <w:sz w:val="28"/>
        </w:rPr>
        <w:br/>
      </w:r>
      <w:r>
        <w:rPr>
          <w:rFonts w:eastAsia="Times New Roman" w:cs="Times New Roman"/>
          <w:spacing w:val="2"/>
          <w:sz w:val="28"/>
        </w:rPr>
        <w:t>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rFonts w:eastAsia="Times New Roman" w:cs="Times New Roman"/>
          <w:sz w:val="28"/>
        </w:rPr>
        <w:t xml:space="preserve">, руководствуясь </w:t>
      </w:r>
      <w:r>
        <w:rPr>
          <w:rFonts w:eastAsia="Times New Roman" w:cs="Times New Roman"/>
          <w:spacing w:val="2"/>
          <w:sz w:val="28"/>
        </w:rPr>
        <w:t xml:space="preserve">постановлением </w:t>
      </w:r>
      <w:r>
        <w:rPr>
          <w:rFonts w:eastAsia="Times New Roman" w:cs="Times New Roman"/>
          <w:sz w:val="28"/>
        </w:rPr>
        <w:t>Правительства Рязанской области от 06.08.2008 № 153 «Об утверждении Положения о главном управлении архитектуры и градостроительства Рязанской области», распоряжением Правительства Рязанской области от 07.02.2019 № 62-р, главное управление архитектуры и градостроительства Рязанской области ПОСТАНОВЛЯЕТ: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1. Внести в постановление главного управления архитектуры </w:t>
      </w:r>
      <w:r>
        <w:rPr>
          <w:rFonts w:eastAsia="Times New Roman" w:cs="Times New Roman"/>
          <w:sz w:val="28"/>
        </w:rPr>
        <w:br/>
        <w:t xml:space="preserve">и градостроительства Рязанской области от 14.04.2020 № 231-п «Об утверждении административного регламента предоставления государственной услуги «Выдача разрешения на строительство, внесение изменений в разрешение </w:t>
      </w:r>
      <w:r w:rsidR="001E6E5A">
        <w:rPr>
          <w:rFonts w:eastAsia="Times New Roman" w:cs="Times New Roman"/>
          <w:sz w:val="28"/>
        </w:rPr>
        <w:br/>
      </w:r>
      <w:r>
        <w:rPr>
          <w:rFonts w:eastAsia="Times New Roman" w:cs="Times New Roman"/>
          <w:sz w:val="28"/>
        </w:rPr>
        <w:lastRenderedPageBreak/>
        <w:t xml:space="preserve">на строительство, в том числе в связи с необходимостью продления срока действия разрешения на строительство» (в редакции постановлений </w:t>
      </w:r>
      <w:proofErr w:type="spellStart"/>
      <w:r>
        <w:rPr>
          <w:rFonts w:eastAsia="Times New Roman" w:cs="Times New Roman"/>
          <w:sz w:val="28"/>
        </w:rPr>
        <w:t>Главархитектуры</w:t>
      </w:r>
      <w:proofErr w:type="spellEnd"/>
      <w:r>
        <w:rPr>
          <w:rFonts w:eastAsia="Times New Roman" w:cs="Times New Roman"/>
          <w:sz w:val="28"/>
        </w:rPr>
        <w:t xml:space="preserve"> Рязанской области от 29.09.2020 № 633-п, от 23.12.2021 </w:t>
      </w:r>
      <w:r w:rsidR="001E6E5A">
        <w:rPr>
          <w:rFonts w:eastAsia="Times New Roman" w:cs="Times New Roman"/>
          <w:sz w:val="28"/>
        </w:rPr>
        <w:br/>
      </w:r>
      <w:r>
        <w:rPr>
          <w:rFonts w:eastAsia="Times New Roman" w:cs="Times New Roman"/>
          <w:sz w:val="28"/>
        </w:rPr>
        <w:t>№ 632-п, от 31.05.2022</w:t>
      </w:r>
      <w:r w:rsidR="001E6E5A"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sz w:val="28"/>
        </w:rPr>
        <w:t xml:space="preserve">№ 283-п, от 07.11.2022 № 638-п, от 26.12.2023 № 630-п, </w:t>
      </w:r>
      <w:r w:rsidR="001E6E5A">
        <w:rPr>
          <w:rFonts w:eastAsia="Times New Roman" w:cs="Times New Roman"/>
          <w:sz w:val="28"/>
        </w:rPr>
        <w:br/>
      </w:r>
      <w:r>
        <w:rPr>
          <w:rFonts w:eastAsia="Times New Roman" w:cs="Times New Roman"/>
          <w:sz w:val="28"/>
        </w:rPr>
        <w:t>от 31.03.2025 № 237-п) следующие изменения: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1) в преамбуле слова «Постановлением Правительства Рязанской области </w:t>
      </w:r>
      <w:r w:rsidR="001E6E5A">
        <w:rPr>
          <w:rFonts w:eastAsia="Times New Roman" w:cs="Times New Roman"/>
          <w:sz w:val="28"/>
        </w:rPr>
        <w:br/>
      </w:r>
      <w:r>
        <w:rPr>
          <w:rFonts w:eastAsia="Times New Roman" w:cs="Times New Roman"/>
          <w:sz w:val="28"/>
        </w:rPr>
        <w:t>от 27.04.2011 № 98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(надзора)» заменить словами «постановлением Правительства Рязанской области от 01.09.2025 № 276 «</w:t>
      </w:r>
      <w:r>
        <w:rPr>
          <w:rFonts w:eastAsia="Times New Roman" w:cs="Times New Roman"/>
          <w:sz w:val="28"/>
          <w:szCs w:val="28"/>
        </w:rPr>
        <w:t>О разработке и утверждении административных регламентов предоставления государственных услуг исполнительными органами Рязанской области»;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2) в пункте 5 слова «О.Д. Муравьева» заменить </w:t>
      </w:r>
      <w:r w:rsidR="00247C39">
        <w:rPr>
          <w:rFonts w:eastAsia="Times New Roman" w:cs="Times New Roman"/>
          <w:sz w:val="28"/>
          <w:szCs w:val="28"/>
        </w:rPr>
        <w:t>словами «Н</w:t>
      </w:r>
      <w:r>
        <w:rPr>
          <w:rFonts w:eastAsia="Times New Roman" w:cs="Times New Roman"/>
          <w:sz w:val="28"/>
          <w:szCs w:val="28"/>
        </w:rPr>
        <w:t>.</w:t>
      </w:r>
      <w:r w:rsidR="00247C39">
        <w:rPr>
          <w:rFonts w:eastAsia="Times New Roman" w:cs="Times New Roman"/>
          <w:sz w:val="28"/>
          <w:szCs w:val="28"/>
        </w:rPr>
        <w:t>А</w:t>
      </w:r>
      <w:r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="00247C39">
        <w:rPr>
          <w:rFonts w:eastAsia="Times New Roman" w:cs="Times New Roman"/>
          <w:sz w:val="28"/>
          <w:szCs w:val="28"/>
        </w:rPr>
        <w:t>Дыкин</w:t>
      </w:r>
      <w:r>
        <w:rPr>
          <w:rFonts w:eastAsia="Times New Roman" w:cs="Times New Roman"/>
          <w:sz w:val="28"/>
          <w:szCs w:val="28"/>
        </w:rPr>
        <w:t>у</w:t>
      </w:r>
      <w:proofErr w:type="spellEnd"/>
      <w:r>
        <w:rPr>
          <w:rFonts w:eastAsia="Times New Roman" w:cs="Times New Roman"/>
          <w:sz w:val="28"/>
          <w:szCs w:val="28"/>
        </w:rPr>
        <w:t>».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2. </w:t>
      </w:r>
      <w:r>
        <w:rPr>
          <w:sz w:val="28"/>
          <w:szCs w:val="28"/>
        </w:rPr>
        <w:t>Внести в приложение к постановлению главного управления архитектуры    и градостроительства Рязанской области от 14.04.2020 № 231-п</w:t>
      </w:r>
      <w:r>
        <w:rPr>
          <w:rFonts w:eastAsia="Times New Roman" w:cs="Times New Roman"/>
          <w:sz w:val="28"/>
        </w:rPr>
        <w:t xml:space="preserve"> «Об утверждении административного регламента предоставления государственной услуги «Выдача разрешения на строительство, внесение изменений в разрешение </w:t>
      </w:r>
      <w:r w:rsidR="001E6E5A">
        <w:rPr>
          <w:rFonts w:eastAsia="Times New Roman" w:cs="Times New Roman"/>
          <w:sz w:val="28"/>
        </w:rPr>
        <w:br/>
      </w:r>
      <w:r>
        <w:rPr>
          <w:rFonts w:eastAsia="Times New Roman" w:cs="Times New Roman"/>
          <w:sz w:val="28"/>
        </w:rPr>
        <w:t xml:space="preserve">на строительство, в том числе в связи с необходимостью продления срока действия разрешения на строительство» (в редакции постановлений </w:t>
      </w:r>
      <w:proofErr w:type="spellStart"/>
      <w:r>
        <w:rPr>
          <w:rFonts w:eastAsia="Times New Roman" w:cs="Times New Roman"/>
          <w:sz w:val="28"/>
        </w:rPr>
        <w:t>Главархитектуры</w:t>
      </w:r>
      <w:proofErr w:type="spellEnd"/>
      <w:r>
        <w:rPr>
          <w:rFonts w:eastAsia="Times New Roman" w:cs="Times New Roman"/>
          <w:sz w:val="28"/>
        </w:rPr>
        <w:t xml:space="preserve"> Рязанской области от 29.09.2020 № 633-п, от 23.12.2021 </w:t>
      </w:r>
      <w:r w:rsidR="001E6E5A">
        <w:rPr>
          <w:rFonts w:eastAsia="Times New Roman" w:cs="Times New Roman"/>
          <w:sz w:val="28"/>
        </w:rPr>
        <w:br/>
      </w:r>
      <w:r>
        <w:rPr>
          <w:rFonts w:eastAsia="Times New Roman" w:cs="Times New Roman"/>
          <w:sz w:val="28"/>
        </w:rPr>
        <w:t>№ 632-п, от 31.05.2022</w:t>
      </w:r>
      <w:r w:rsidR="001E6E5A"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sz w:val="28"/>
        </w:rPr>
        <w:t xml:space="preserve">№ 283-п, от 07.11.2022 № 638-п, от 26.12.2023 № 630-п, </w:t>
      </w:r>
      <w:r w:rsidR="001E6E5A">
        <w:rPr>
          <w:rFonts w:eastAsia="Times New Roman" w:cs="Times New Roman"/>
          <w:sz w:val="28"/>
        </w:rPr>
        <w:br/>
      </w:r>
      <w:r>
        <w:rPr>
          <w:rFonts w:eastAsia="Times New Roman" w:cs="Times New Roman"/>
          <w:sz w:val="28"/>
        </w:rPr>
        <w:t xml:space="preserve">от 31.03.2025 № 237-п) </w:t>
      </w:r>
      <w:r>
        <w:rPr>
          <w:sz w:val="28"/>
          <w:szCs w:val="28"/>
        </w:rPr>
        <w:t>следующие изменения</w:t>
      </w:r>
      <w:r>
        <w:rPr>
          <w:rFonts w:eastAsia="Times New Roman" w:cs="Times New Roman"/>
          <w:sz w:val="28"/>
        </w:rPr>
        <w:t>: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>1) в пункте 2.9.1: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>а) в подпункте 1: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- после слов «правоустанавливающие документы на земельный участок,» дополнить словами «права на который не зарегистрированы </w:t>
      </w:r>
      <w:r>
        <w:rPr>
          <w:rFonts w:eastAsia="Times New Roman" w:cs="Times New Roman"/>
          <w:sz w:val="28"/>
        </w:rPr>
        <w:br/>
        <w:t>в Едином государственном реестре недвижимости,»;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- слово «решение» заменить </w:t>
      </w:r>
      <w:proofErr w:type="gramStart"/>
      <w:r>
        <w:rPr>
          <w:rFonts w:eastAsia="Times New Roman" w:cs="Times New Roman"/>
          <w:sz w:val="28"/>
        </w:rPr>
        <w:t>словами  «</w:t>
      </w:r>
      <w:proofErr w:type="gramEnd"/>
      <w:r>
        <w:rPr>
          <w:rFonts w:eastAsia="Times New Roman" w:cs="Times New Roman"/>
          <w:sz w:val="28"/>
        </w:rPr>
        <w:t>реквизиты решения»;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б) в подпункте 1.1: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слова «указанное соглашение» заменить словами «реквизиты указанного соглашения»;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после слов «с которым заключено это соглашение» дополнить словами </w:t>
      </w:r>
      <w:r>
        <w:rPr>
          <w:rFonts w:eastAsia="Times New Roman" w:cs="Times New Roman"/>
          <w:sz w:val="28"/>
          <w:szCs w:val="28"/>
        </w:rPr>
        <w:br/>
        <w:t xml:space="preserve">«, в случае, если права на такой земельный участок не зарегистрированы </w:t>
      </w:r>
      <w:r>
        <w:rPr>
          <w:rFonts w:eastAsia="Times New Roman" w:cs="Times New Roman"/>
          <w:sz w:val="28"/>
          <w:szCs w:val="28"/>
        </w:rPr>
        <w:br/>
        <w:t>в Едином государственном реестре недвижимости»;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в) в подпункте 2: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слова «градостроительный план», заменить словами «реквизиты градостроительного плана»;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слово «выданный» заменить словом «выданного»;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г) в подпункте 4 слова «положительное заключение» заменить словами «реквизиты положительного заключения»;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д) в под пункте 4.2 слова «подтверждение» заменить словами «сведения </w:t>
      </w:r>
      <w:r>
        <w:rPr>
          <w:rFonts w:eastAsia="Times New Roman" w:cs="Times New Roman"/>
          <w:sz w:val="28"/>
          <w:szCs w:val="28"/>
        </w:rPr>
        <w:br/>
        <w:t>о подтверждении»;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е) в подпункте 5 слово «разрешение» заменить словами «реквизиты разрешения»; 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ж) в подпункте 5.1 слово «согласование» заменить словами «реквизиты решения о согласовании архитектурно-градостроительного облика </w:t>
      </w:r>
      <w:r>
        <w:rPr>
          <w:rFonts w:eastAsia="Times New Roman" w:cs="Times New Roman"/>
          <w:sz w:val="28"/>
          <w:szCs w:val="28"/>
        </w:rPr>
        <w:br/>
        <w:t>и наименование уполномоченного органа местного самоуправления, принявшего решение о согласовании»;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з) в подпункте 9: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слово «копия» заменить словом «реквизиты»;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992"/>
        </w:tabs>
        <w:spacing w:line="57" w:lineRule="atLeast"/>
        <w:ind w:firstLine="425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- после слова «решения» дополнить словами «и наименование уполномоченного органа, принявшего решение»;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и) в подпункте 10: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в абзаце первом слово «копия» заменить словом «реквизиты»;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к) дополнить подпунктом 11 следующего содержания: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«11) подтверждение соответствия условиям застройки, предусмотренным статьей 10 Федерального закона от 27 декабря 2019 года № 468-ФЗ </w:t>
      </w:r>
      <w:r>
        <w:rPr>
          <w:rFonts w:eastAsia="Times New Roman" w:cs="Times New Roman"/>
          <w:sz w:val="28"/>
          <w:szCs w:val="28"/>
        </w:rPr>
        <w:br/>
        <w:t>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л) абзацы двадцать первый и двадцать второй признать утратившими силу;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м) дополнить пунктами 2.9.1-1, 2.9.1-2 следующего содержания: 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«2.9.1-1. Уполномоченный специалист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следующие документы (их копии или сведения, содержащиеся в них):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</w:pPr>
      <w:r>
        <w:rPr>
          <w:rFonts w:eastAsia="Times New Roman" w:cs="Times New Roman"/>
          <w:sz w:val="28"/>
          <w:szCs w:val="28"/>
        </w:rPr>
        <w:t xml:space="preserve">1) правоустанавливающие документы на земельный участок, права </w:t>
      </w:r>
      <w:r w:rsidR="001E6E5A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 xml:space="preserve">на который зарегистрированы в Едином государственном реестре недвижимости, </w:t>
      </w:r>
      <w:r>
        <w:rPr>
          <w:rFonts w:eastAsia="Times New Roman" w:cs="Times New Roman"/>
          <w:sz w:val="28"/>
          <w:szCs w:val="28"/>
        </w:rPr>
        <w:br/>
        <w:t xml:space="preserve">в том числе соглашение об установлении сервитута, решение об установлении публичного сервитута, а также схема расположения земельного участка </w:t>
      </w:r>
      <w:r w:rsidR="001E6E5A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 xml:space="preserve">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участка, в случаях, предусмотренных частями 1.1 и 1.2 статьи 57.3  </w:t>
      </w:r>
      <w:proofErr w:type="spellStart"/>
      <w:r>
        <w:rPr>
          <w:rFonts w:eastAsia="Times New Roman" w:cs="Times New Roman"/>
          <w:sz w:val="28"/>
          <w:szCs w:val="28"/>
        </w:rPr>
        <w:t>ГрК</w:t>
      </w:r>
      <w:proofErr w:type="spellEnd"/>
      <w:r>
        <w:rPr>
          <w:rFonts w:eastAsia="Times New Roman" w:cs="Times New Roman"/>
          <w:sz w:val="28"/>
          <w:szCs w:val="28"/>
        </w:rPr>
        <w:t xml:space="preserve"> РФ, если иное не установлено частью 7.3 статьи 51 </w:t>
      </w:r>
      <w:proofErr w:type="spellStart"/>
      <w:r>
        <w:rPr>
          <w:rFonts w:eastAsia="Times New Roman" w:cs="Times New Roman"/>
          <w:sz w:val="28"/>
          <w:szCs w:val="28"/>
        </w:rPr>
        <w:t>ГрК</w:t>
      </w:r>
      <w:proofErr w:type="spellEnd"/>
      <w:r>
        <w:rPr>
          <w:rFonts w:eastAsia="Times New Roman" w:cs="Times New Roman"/>
          <w:sz w:val="28"/>
          <w:szCs w:val="28"/>
        </w:rPr>
        <w:t xml:space="preserve"> РФ;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</w:pPr>
      <w:r>
        <w:rPr>
          <w:rFonts w:eastAsia="Times New Roman" w:cs="Times New Roman"/>
          <w:sz w:val="28"/>
          <w:szCs w:val="28"/>
        </w:rPr>
        <w:t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>
        <w:rPr>
          <w:rFonts w:eastAsia="Times New Roman" w:cs="Times New Roman"/>
          <w:sz w:val="28"/>
          <w:szCs w:val="28"/>
        </w:rPr>
        <w:t>Росатом</w:t>
      </w:r>
      <w:proofErr w:type="spellEnd"/>
      <w:r>
        <w:rPr>
          <w:rFonts w:eastAsia="Times New Roman" w:cs="Times New Roman"/>
          <w:sz w:val="28"/>
          <w:szCs w:val="28"/>
        </w:rPr>
        <w:t>», Государственной корпорацией по космической деятельности «</w:t>
      </w:r>
      <w:proofErr w:type="spellStart"/>
      <w:r>
        <w:rPr>
          <w:rFonts w:eastAsia="Times New Roman" w:cs="Times New Roman"/>
          <w:sz w:val="28"/>
          <w:szCs w:val="28"/>
        </w:rPr>
        <w:t>Роскосмос</w:t>
      </w:r>
      <w:proofErr w:type="spellEnd"/>
      <w:r>
        <w:rPr>
          <w:rFonts w:eastAsia="Times New Roman" w:cs="Times New Roman"/>
          <w:sz w:val="28"/>
          <w:szCs w:val="28"/>
        </w:rPr>
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указанное соглашение, правоустанавливающие документы </w:t>
      </w:r>
      <w:r w:rsidR="001E6E5A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 xml:space="preserve">на земельный участок правообладателя, с которым заключено указанное соглашение, в случае, если права на такой земельный участок зарегистрированы </w:t>
      </w:r>
      <w:r w:rsidR="001E6E5A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>в Едином государственном реестре недвижимости;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</w:pPr>
      <w:r>
        <w:rPr>
          <w:rFonts w:eastAsia="Times New Roman" w:cs="Times New Roman"/>
          <w:sz w:val="28"/>
          <w:szCs w:val="28"/>
        </w:rPr>
        <w:lastRenderedPageBreak/>
        <w:t xml:space="preserve">3) градостроительный план земельного участка, выданный не ранее чем </w:t>
      </w:r>
      <w:r w:rsidR="001E6E5A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 xml:space="preserve">за три года до дня представления заявления на получение разрешения </w:t>
      </w:r>
      <w:r w:rsidR="001E6E5A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 xml:space="preserve">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</w:t>
      </w:r>
      <w:r w:rsidR="001E6E5A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>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</w:pPr>
      <w:r>
        <w:rPr>
          <w:rFonts w:eastAsia="Times New Roman" w:cs="Times New Roman"/>
          <w:sz w:val="28"/>
          <w:szCs w:val="28"/>
        </w:rPr>
        <w:t xml:space="preserve">4)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</w:r>
      <w:proofErr w:type="spellStart"/>
      <w:r>
        <w:rPr>
          <w:rFonts w:eastAsia="Times New Roman" w:cs="Times New Roman"/>
          <w:sz w:val="28"/>
          <w:szCs w:val="28"/>
        </w:rPr>
        <w:t>ГрК</w:t>
      </w:r>
      <w:proofErr w:type="spellEnd"/>
      <w:r>
        <w:rPr>
          <w:rFonts w:eastAsia="Times New Roman" w:cs="Times New Roman"/>
          <w:sz w:val="28"/>
          <w:szCs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</w:t>
      </w:r>
      <w:r w:rsidR="001E6E5A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 xml:space="preserve">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proofErr w:type="spellStart"/>
      <w:r>
        <w:rPr>
          <w:rFonts w:eastAsia="Times New Roman" w:cs="Times New Roman"/>
          <w:sz w:val="28"/>
          <w:szCs w:val="28"/>
        </w:rPr>
        <w:t>ГрК</w:t>
      </w:r>
      <w:proofErr w:type="spellEnd"/>
      <w:r>
        <w:rPr>
          <w:rFonts w:eastAsia="Times New Roman" w:cs="Times New Roman"/>
          <w:sz w:val="28"/>
          <w:szCs w:val="28"/>
        </w:rPr>
        <w:t xml:space="preserve"> РФ), если такая проектная документация подлежит экспертизе в соответствии со статьей 49 </w:t>
      </w:r>
      <w:proofErr w:type="spellStart"/>
      <w:r>
        <w:rPr>
          <w:rFonts w:eastAsia="Times New Roman" w:cs="Times New Roman"/>
          <w:sz w:val="28"/>
          <w:szCs w:val="28"/>
        </w:rPr>
        <w:t>ГрК</w:t>
      </w:r>
      <w:proofErr w:type="spellEnd"/>
      <w:r>
        <w:rPr>
          <w:rFonts w:eastAsia="Times New Roman" w:cs="Times New Roman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>
        <w:rPr>
          <w:rFonts w:eastAsia="Times New Roman" w:cs="Times New Roman"/>
          <w:sz w:val="28"/>
          <w:szCs w:val="28"/>
        </w:rPr>
        <w:t>ГрК</w:t>
      </w:r>
      <w:proofErr w:type="spellEnd"/>
      <w:r>
        <w:rPr>
          <w:rFonts w:eastAsia="Times New Roman" w:cs="Times New Roman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proofErr w:type="spellStart"/>
      <w:r>
        <w:rPr>
          <w:rFonts w:eastAsia="Times New Roman" w:cs="Times New Roman"/>
          <w:sz w:val="28"/>
          <w:szCs w:val="28"/>
        </w:rPr>
        <w:t>ГрК</w:t>
      </w:r>
      <w:proofErr w:type="spellEnd"/>
      <w:r>
        <w:rPr>
          <w:rFonts w:eastAsia="Times New Roman" w:cs="Times New Roman"/>
          <w:sz w:val="28"/>
          <w:szCs w:val="28"/>
        </w:rPr>
        <w:t xml:space="preserve"> РФ;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</w:pPr>
      <w:r>
        <w:rPr>
          <w:rFonts w:eastAsia="Times New Roman" w:cs="Times New Roman"/>
          <w:sz w:val="28"/>
          <w:szCs w:val="28"/>
        </w:rPr>
        <w:t xml:space="preserve">5)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>
        <w:rPr>
          <w:rFonts w:eastAsia="Times New Roman" w:cs="Times New Roman"/>
          <w:sz w:val="28"/>
          <w:szCs w:val="28"/>
        </w:rPr>
        <w:t>ГрК</w:t>
      </w:r>
      <w:proofErr w:type="spellEnd"/>
      <w:r>
        <w:rPr>
          <w:rFonts w:eastAsia="Times New Roman" w:cs="Times New Roman"/>
          <w:sz w:val="28"/>
          <w:szCs w:val="28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</w:t>
      </w:r>
      <w:r>
        <w:rPr>
          <w:rFonts w:eastAsia="Times New Roman" w:cs="Times New Roman"/>
          <w:sz w:val="28"/>
          <w:szCs w:val="28"/>
        </w:rPr>
        <w:br/>
        <w:t xml:space="preserve">в соответствии с частью 3.9 статьи 49 </w:t>
      </w:r>
      <w:proofErr w:type="spellStart"/>
      <w:r>
        <w:rPr>
          <w:rFonts w:eastAsia="Times New Roman" w:cs="Times New Roman"/>
          <w:sz w:val="28"/>
          <w:szCs w:val="28"/>
        </w:rPr>
        <w:t>ГрК</w:t>
      </w:r>
      <w:proofErr w:type="spellEnd"/>
      <w:r>
        <w:rPr>
          <w:rFonts w:eastAsia="Times New Roman" w:cs="Times New Roman"/>
          <w:sz w:val="28"/>
          <w:szCs w:val="28"/>
        </w:rPr>
        <w:t xml:space="preserve"> РФ;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</w:pPr>
      <w:r>
        <w:rPr>
          <w:rFonts w:eastAsia="Times New Roman" w:cs="Times New Roman"/>
          <w:sz w:val="28"/>
          <w:szCs w:val="28"/>
        </w:rPr>
        <w:t xml:space="preserve">6)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proofErr w:type="spellStart"/>
      <w:r>
        <w:rPr>
          <w:rFonts w:eastAsia="Times New Roman" w:cs="Times New Roman"/>
          <w:sz w:val="28"/>
          <w:szCs w:val="28"/>
        </w:rPr>
        <w:t>ГрК</w:t>
      </w:r>
      <w:proofErr w:type="spellEnd"/>
      <w:r>
        <w:rPr>
          <w:rFonts w:eastAsia="Times New Roman" w:cs="Times New Roman"/>
          <w:sz w:val="28"/>
          <w:szCs w:val="28"/>
        </w:rPr>
        <w:t xml:space="preserve"> РФ);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</w:pPr>
      <w:r>
        <w:rPr>
          <w:rFonts w:eastAsia="Times New Roman" w:cs="Times New Roman"/>
          <w:sz w:val="28"/>
          <w:szCs w:val="28"/>
        </w:rPr>
        <w:t xml:space="preserve">7)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>
        <w:rPr>
          <w:rFonts w:eastAsia="Times New Roman" w:cs="Times New Roman"/>
          <w:sz w:val="28"/>
          <w:szCs w:val="28"/>
        </w:rPr>
        <w:t>ГрК</w:t>
      </w:r>
      <w:proofErr w:type="spellEnd"/>
      <w:r>
        <w:rPr>
          <w:rFonts w:eastAsia="Times New Roman" w:cs="Times New Roman"/>
          <w:sz w:val="28"/>
          <w:szCs w:val="28"/>
        </w:rPr>
        <w:t xml:space="preserve"> РФ;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</w:pPr>
      <w:r>
        <w:rPr>
          <w:rFonts w:eastAsia="Times New Roman" w:cs="Times New Roman"/>
          <w:sz w:val="28"/>
          <w:szCs w:val="28"/>
        </w:rPr>
        <w:t xml:space="preserve">8)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</w:t>
      </w:r>
      <w:r>
        <w:rPr>
          <w:rFonts w:eastAsia="Times New Roman" w:cs="Times New Roman"/>
          <w:sz w:val="28"/>
          <w:szCs w:val="28"/>
        </w:rPr>
        <w:br/>
        <w:t xml:space="preserve">с законодательством Российской Федерации подлежит установлению зона </w:t>
      </w:r>
      <w:r>
        <w:rPr>
          <w:rFonts w:eastAsia="Times New Roman" w:cs="Times New Roman"/>
          <w:sz w:val="28"/>
          <w:szCs w:val="28"/>
        </w:rPr>
        <w:br/>
        <w:t>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9) копия договора о комплексном развитии территории в случае, если строительство, реконструкцию объектов капитального строительства планируется </w:t>
      </w:r>
      <w:r>
        <w:rPr>
          <w:rFonts w:eastAsia="Times New Roman" w:cs="Times New Roman"/>
          <w:sz w:val="28"/>
          <w:szCs w:val="28"/>
        </w:rPr>
        <w:lastRenderedPageBreak/>
        <w:t xml:space="preserve">осуществлять в границах территории, в отношении которой принято решение </w:t>
      </w:r>
      <w:r>
        <w:rPr>
          <w:rFonts w:eastAsia="Times New Roman" w:cs="Times New Roman"/>
          <w:sz w:val="28"/>
          <w:szCs w:val="28"/>
        </w:rPr>
        <w:br/>
        <w:t xml:space="preserve">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</w:t>
      </w:r>
      <w:r>
        <w:rPr>
          <w:rFonts w:eastAsia="Times New Roman" w:cs="Times New Roman"/>
          <w:sz w:val="28"/>
          <w:szCs w:val="28"/>
        </w:rPr>
        <w:br/>
        <w:t xml:space="preserve">с привлечением средств бюджета бюджетной системы Российской Федерации предоставление копий таких договора о комплексном развитии территории </w:t>
      </w:r>
      <w:r>
        <w:rPr>
          <w:rFonts w:eastAsia="Times New Roman" w:cs="Times New Roman"/>
          <w:sz w:val="28"/>
          <w:szCs w:val="28"/>
        </w:rPr>
        <w:br/>
        <w:t>и (или) решения не требуется.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Застройщик вправе представить вышеуказанные документы по собственной инициативе.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2.9.1-2. Документы и сведения, указанные в пунктах 3 и 4 настоящего пункта, направляются заявителем в случае, если данные документы (их копии или сведения, содержащиеся в них) отсутствуют в едином государственном реестре заключений,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власти, осуществляющего федеральный государственный экологический контроль (надзор) (в случае проведения государственной экологической экспертизы федеральным органом исполнительной власти в области экологической экспертизы), исполнительного органа субъекта Российской Федерации и органа местного самоуправления.»;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2) в подпункте «а» пункта 2.14 после слова «документов» добавить слова </w:t>
      </w:r>
      <w:r>
        <w:rPr>
          <w:rFonts w:eastAsia="Times New Roman" w:cs="Times New Roman"/>
          <w:sz w:val="28"/>
          <w:szCs w:val="28"/>
        </w:rPr>
        <w:br/>
        <w:t>«и сведений».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>3. Настоящее постановление вступает в силу на следующий день после его официального опубликования.</w:t>
      </w:r>
    </w:p>
    <w:p w:rsidR="00DC51C5" w:rsidRDefault="004F1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4. </w:t>
      </w: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C51C5" w:rsidRDefault="004F175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C51C5" w:rsidRDefault="004F175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DC51C5" w:rsidRDefault="004F1758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5.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DC51C5" w:rsidRDefault="00DC51C5">
      <w:pPr>
        <w:widowControl w:val="0"/>
        <w:ind w:firstLine="850"/>
        <w:jc w:val="both"/>
        <w:rPr>
          <w:color w:val="auto"/>
          <w:sz w:val="28"/>
        </w:rPr>
      </w:pPr>
    </w:p>
    <w:p w:rsidR="00DC51C5" w:rsidRDefault="00DC51C5">
      <w:pPr>
        <w:widowControl w:val="0"/>
        <w:tabs>
          <w:tab w:val="left" w:pos="709"/>
        </w:tabs>
        <w:rPr>
          <w:color w:val="auto"/>
          <w:sz w:val="28"/>
          <w:szCs w:val="28"/>
        </w:rPr>
      </w:pPr>
    </w:p>
    <w:p w:rsidR="00DC51C5" w:rsidRDefault="00DC51C5">
      <w:pPr>
        <w:widowControl w:val="0"/>
        <w:tabs>
          <w:tab w:val="left" w:pos="709"/>
        </w:tabs>
        <w:rPr>
          <w:color w:val="auto"/>
          <w:sz w:val="28"/>
          <w:szCs w:val="28"/>
        </w:rPr>
      </w:pPr>
    </w:p>
    <w:p w:rsidR="00DC51C5" w:rsidRDefault="004F1758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DC51C5" w:rsidRDefault="00DC51C5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DC51C5">
      <w:headerReference w:type="default" r:id="rId8"/>
      <w:pgSz w:w="11906" w:h="16838"/>
      <w:pgMar w:top="1161" w:right="567" w:bottom="907" w:left="1417" w:header="567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515" w:rsidRDefault="00503515">
      <w:r>
        <w:separator/>
      </w:r>
    </w:p>
  </w:endnote>
  <w:endnote w:type="continuationSeparator" w:id="0">
    <w:p w:rsidR="00503515" w:rsidRDefault="0050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515" w:rsidRDefault="00503515">
      <w:r>
        <w:separator/>
      </w:r>
    </w:p>
  </w:footnote>
  <w:footnote w:type="continuationSeparator" w:id="0">
    <w:p w:rsidR="00503515" w:rsidRDefault="00503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1C5" w:rsidRDefault="004F1758">
    <w:pPr>
      <w:pStyle w:val="af7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C1187F" w:rsidRPr="00C1187F">
      <w:rPr>
        <w:rFonts w:ascii="Times New Roman" w:eastAsia="Times New Roman" w:hAnsi="Times New Roman" w:cs="Times New Roman"/>
        <w:noProof/>
        <w:sz w:val="24"/>
        <w:szCs w:val="24"/>
      </w:rPr>
      <w:t>5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DC51C5" w:rsidRDefault="00DC51C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53D36"/>
    <w:multiLevelType w:val="hybridMultilevel"/>
    <w:tmpl w:val="24A8C06C"/>
    <w:lvl w:ilvl="0" w:tplc="8DCC2D6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52C17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7AE7B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B8E1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7ACA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4F275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A6280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6ED0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152F8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C5"/>
    <w:rsid w:val="001E6E5A"/>
    <w:rsid w:val="00247C39"/>
    <w:rsid w:val="004F1758"/>
    <w:rsid w:val="00503515"/>
    <w:rsid w:val="00C1187F"/>
    <w:rsid w:val="00D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DF5B"/>
  <w15:docId w15:val="{F140B820-FCA5-4EBE-A21A-4940347D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Чамкина</dc:creator>
  <dc:description/>
  <cp:lastModifiedBy>User214</cp:lastModifiedBy>
  <cp:revision>4</cp:revision>
  <cp:lastPrinted>2026-04-10T11:53:00Z</cp:lastPrinted>
  <dcterms:created xsi:type="dcterms:W3CDTF">2026-04-10T11:44:00Z</dcterms:created>
  <dcterms:modified xsi:type="dcterms:W3CDTF">2026-04-13T12:15:00Z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