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5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ind w:right="-45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ind w:right="-45"/>
        <w:jc w:val="center"/>
        <w:spacing w:line="288" w:lineRule="auto"/>
        <w:rPr>
          <w:rFonts w:ascii="Times New Roman" w:hAnsi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29640" cy="9906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9296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20pt;height:78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3"/>
      </w:pPr>
      <w:r>
        <w:t xml:space="preserve">МИНИСТЕРСТВО ТРУДА И СОЦИАЛЬНОЙ ЗАЩИТЫ НАСЕЛЕНИЯ</w:t>
      </w:r>
      <w:r/>
    </w:p>
    <w:p>
      <w:pPr>
        <w:pStyle w:val="943"/>
      </w:pPr>
      <w:r>
        <w:t xml:space="preserve">РЯЗАНСКОЙ ОБЛАСТИ</w:t>
      </w:r>
      <w:r/>
    </w:p>
    <w:p>
      <w:pPr>
        <w:ind w:right="-4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35"/>
        <w:ind w:left="0"/>
      </w:pPr>
      <w:r>
        <w:rPr>
          <w:sz w:val="28"/>
          <w:szCs w:val="28"/>
        </w:rPr>
        <w:t xml:space="preserve">ПОСТАНОВЛЕНИЕ</w:t>
      </w:r>
      <w:r/>
    </w:p>
    <w:p>
      <w:pPr>
        <w:ind w:right="-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от 22.05.2026 № 13</w:t>
      </w:r>
      <w:r>
        <w:rPr>
          <w:rFonts w:ascii="Times New Roman" w:hAnsi="Times New Roman" w:eastAsia="Calibri"/>
          <w:bCs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и порядке работы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пунктов временного размещения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мероприятий по временному социально-бытовому обустройству граждан Российской Федерации, иностранных граждан и лиц без гражданства, пострадавших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произошедшей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– городского округа город Рязань 15 мая 2026 года,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Губернатора Рязанской области от 15.05.2026</w:t>
      </w:r>
      <w:r>
        <w:rPr>
          <w:rFonts w:ascii="Times New Roman" w:hAnsi="Times New Roman" w:cs="Times New Roman"/>
          <w:sz w:val="28"/>
          <w:szCs w:val="28"/>
        </w:rPr>
        <w:t xml:space="preserve"> № 171-рг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труда и социальной защиты населения Рязанской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пункты временного размещения (далее – ПВР) граждан Российской Федерации, иностранных граждан и лиц без гражданства (далее – граждане), пострадавших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произошедшей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– городского округа город Рязань 15 мая 2026 года: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Рязанской области «Комплексный центр социального обслуживания населения «Семья» – для семей с детьми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«Рязанский геронтологический центр им. П.А. </w:t>
      </w:r>
      <w:r>
        <w:rPr>
          <w:rFonts w:ascii="Times New Roman" w:hAnsi="Times New Roman" w:cs="Times New Roman"/>
          <w:sz w:val="28"/>
          <w:szCs w:val="28"/>
        </w:rPr>
        <w:t xml:space="preserve">Мальшина</w:t>
      </w:r>
      <w:r>
        <w:rPr>
          <w:rFonts w:ascii="Times New Roman" w:hAnsi="Times New Roman" w:cs="Times New Roman"/>
          <w:sz w:val="28"/>
          <w:szCs w:val="28"/>
        </w:rPr>
        <w:t xml:space="preserve">» – для лиц старше 60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Скопинский</w:t>
      </w:r>
      <w:r>
        <w:rPr>
          <w:rFonts w:ascii="Times New Roman" w:hAnsi="Times New Roman" w:cs="Times New Roman"/>
          <w:sz w:val="28"/>
          <w:szCs w:val="28"/>
        </w:rPr>
        <w:t xml:space="preserve"> дом социального обслуживания» – для </w:t>
      </w:r>
      <w:r>
        <w:rPr>
          <w:rFonts w:ascii="Times New Roman" w:hAnsi="Times New Roman" w:cs="Times New Roman"/>
          <w:sz w:val="28"/>
          <w:szCs w:val="28"/>
        </w:rPr>
        <w:t xml:space="preserve">инвалидов и </w:t>
      </w:r>
      <w:r>
        <w:rPr>
          <w:rFonts w:ascii="Times New Roman" w:hAnsi="Times New Roman" w:cs="Times New Roman"/>
          <w:sz w:val="28"/>
          <w:szCs w:val="28"/>
        </w:rPr>
        <w:t xml:space="preserve">лиц старше 60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«Михайловский дом социального обслуживания» – </w:t>
      </w:r>
      <w:r>
        <w:rPr>
          <w:rFonts w:ascii="Times New Roman" w:hAnsi="Times New Roman" w:cs="Times New Roman"/>
          <w:sz w:val="28"/>
          <w:szCs w:val="28"/>
        </w:rPr>
        <w:t xml:space="preserve">для инвалидов и лиц старше 60 лет, 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автономного учреждения Рязанской области  «Рязанский многопрофильный социально-реабилитационный центр «Сосновый бор».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работы пунктов временного размещения для приема граждан Российской Федерации, иностранных граждан и лиц без гражданства, пострадавших в результате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чрезвычайной ситуации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произошедшей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 территории муниципального образования – городского округа город Рязань 15 мая 2026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настоящему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6"/>
        <w:ind w:firstLine="567"/>
        <w:jc w:val="both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</w:t>
      </w:r>
      <w:r>
        <w:t xml:space="preserve"> </w:t>
      </w:r>
      <w:hyperlink r:id="rId16" w:tooltip="https://login.consultant.ru/link/?req=doc&amp;base=RLAW073&amp;n=455214&amp;dst=100085&amp;field=134&amp;date=21.05.2026" w:history="1">
        <w:r>
          <w:rPr>
            <w:rStyle w:val="954"/>
            <w:color w:val="auto"/>
            <w:sz w:val="28"/>
            <w:szCs w:val="28"/>
            <w:u w:val="none"/>
          </w:rPr>
          <w:t xml:space="preserve">Порядок</w:t>
        </w:r>
      </w:hyperlink>
      <w:r>
        <w:rPr>
          <w:sz w:val="28"/>
          <w:szCs w:val="28"/>
        </w:rPr>
        <w:t xml:space="preserve"> определения объема и условия предоставления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из областного бюджета государственным учреждениям Рязанской области,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17" w:tooltip="https://login.consultant.ru/link/?req=doc&amp;base=LAW&amp;n=495710&amp;dst=3146&amp;field=134&amp;date=21.05.2026" w:history="1">
        <w:r>
          <w:rPr>
            <w:rStyle w:val="954"/>
            <w:color w:val="auto"/>
            <w:sz w:val="28"/>
            <w:szCs w:val="28"/>
            <w:u w:val="none"/>
          </w:rPr>
          <w:t xml:space="preserve">абзацем вторым пункта 1 статьи 78.1</w:t>
        </w:r>
      </w:hyperlink>
      <w:r>
        <w:rPr>
          <w:sz w:val="28"/>
          <w:szCs w:val="28"/>
        </w:rPr>
        <w:t xml:space="preserve"> Бюджетного кодекса Российской Федерации на реализацию мероприятия                по обеспечению временного социально-бытового обустройства отдельных категорий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</w:t>
      </w:r>
      <w:r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 xml:space="preserve"> № 2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567"/>
        <w:jc w:val="both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руководителями ПВР директоров учреждений, на базе которых они создаются.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Директорам государственных учреждений,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 настоящего постановления, осуществлять контроль за созданием социально-бытовых и безопасных условий размещения прибывших граждан</w:t>
      </w:r>
      <w:r>
        <w:rPr>
          <w:rFonts w:ascii="Times New Roman" w:hAnsi="Times New Roman" w:cs="Times New Roman"/>
          <w:sz w:val="28"/>
          <w:szCs w:val="28"/>
        </w:rPr>
        <w:t xml:space="preserve"> и целевым расходованием средств, выделенных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временному социально-бытовому обустройству в ПВР граждан, пострадавших в результате чрезвычайной ситуации, произошедшей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– городского округа город Рязань 15 мая 2026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bookmarkStart w:id="0" w:name="p0"/>
      <w:r/>
      <w:bookmarkEnd w:id="0"/>
      <w:r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расходов на обеспечение </w:t>
      </w:r>
      <w:r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временно</w:t>
      </w:r>
      <w:r>
        <w:rPr>
          <w:sz w:val="28"/>
          <w:szCs w:val="28"/>
        </w:rPr>
        <w:t xml:space="preserve">му социально-бытовому</w:t>
      </w:r>
      <w:r>
        <w:rPr>
          <w:sz w:val="28"/>
          <w:szCs w:val="28"/>
        </w:rPr>
        <w:t xml:space="preserve"> обустройств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ПВР </w:t>
      </w:r>
      <w:r>
        <w:rPr>
          <w:sz w:val="28"/>
          <w:szCs w:val="28"/>
        </w:rPr>
        <w:t xml:space="preserve">граждан, пострадавших в результате </w:t>
      </w:r>
      <w:r>
        <w:rPr>
          <w:sz w:val="28"/>
          <w:szCs w:val="28"/>
        </w:rPr>
        <w:t xml:space="preserve">чрезвычайной ситуации, произошедшей</w:t>
      </w:r>
      <w:r>
        <w:rPr>
          <w:sz w:val="28"/>
          <w:szCs w:val="28"/>
        </w:rPr>
        <w:t xml:space="preserve"> на территории муниципального образования – городского округа город Рязань 15 мая 2026 года, в том числе временно</w:t>
      </w:r>
      <w:r>
        <w:rPr>
          <w:sz w:val="28"/>
          <w:szCs w:val="28"/>
        </w:rPr>
        <w:t xml:space="preserve">му </w:t>
      </w:r>
      <w:r>
        <w:rPr>
          <w:sz w:val="28"/>
          <w:szCs w:val="28"/>
        </w:rPr>
        <w:t xml:space="preserve">размещени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питани</w:t>
      </w:r>
      <w:r>
        <w:rPr>
          <w:sz w:val="28"/>
          <w:szCs w:val="28"/>
        </w:rPr>
        <w:t xml:space="preserve">ю, </w:t>
      </w:r>
      <w:r>
        <w:rPr>
          <w:sz w:val="28"/>
          <w:szCs w:val="28"/>
        </w:rPr>
        <w:t xml:space="preserve">осуществляется за счет </w:t>
      </w:r>
      <w:r>
        <w:rPr>
          <w:sz w:val="28"/>
          <w:szCs w:val="28"/>
        </w:rPr>
        <w:t xml:space="preserve">средств областного бюджета, включая </w:t>
      </w:r>
      <w:r>
        <w:rPr>
          <w:sz w:val="28"/>
          <w:szCs w:val="28"/>
        </w:rPr>
        <w:t xml:space="preserve">бюджетны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ассигновани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резервного фонда Правительства Рязанской области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Ежемесячный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целевым расходованием средств, выделенных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мероприятий по временному социально-бытовому обустройству в ПВР граждан, пострадавших в результате чрезвычайной ситуации, произошедшей на территории муниципального образования – городского округа город Рязань 15 мая 2026 года</w:t>
      </w:r>
      <w:r>
        <w:rPr>
          <w:rFonts w:ascii="Times New Roman" w:hAnsi="Times New Roman" w:cs="Times New Roman"/>
          <w:sz w:val="28"/>
          <w:szCs w:val="28"/>
        </w:rPr>
        <w:t xml:space="preserve">, возложить на отдел аудита             и контроля министерства труда и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                    на заместителя министра труда и социальной защиты населения Рязанской области в сфере социального обслуживания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</w:t>
      </w:r>
      <w:r>
        <w:rPr>
          <w:rFonts w:ascii="Times New Roman" w:hAnsi="Times New Roman" w:cs="Times New Roman"/>
          <w:sz w:val="28"/>
          <w:szCs w:val="28"/>
        </w:rPr>
        <w:t xml:space="preserve"> действие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15.05.2026.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А.П. Кричинский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22.05.2026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и порядке работы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пунктов временного размещения»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работы пунктов временного размещения для приема граждан Российской Федерации, иностранных граждан и лиц без гражданства,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пострадавших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результате чрезвычайной ситуации, произошедшей на территории муниципального образования – городского округа город Рязань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15 мая 2026 года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основные принципы организации работы пунктов временного размещения для приема граждан Российской Федерации, иностранных граждан и лиц без гражданства, пострадавших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чрезвычайной ситуации, произошедшей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– городского округа город Рязань 15 мая 2026 года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ПВР).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ПВР создаются: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Рязанской области «Комплексный центр социального обслуживания населения «Семья» – для семей с деть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«Рязанский геронтологический центр им. П.А. </w:t>
      </w:r>
      <w:r>
        <w:rPr>
          <w:rFonts w:ascii="Times New Roman" w:hAnsi="Times New Roman" w:cs="Times New Roman"/>
          <w:sz w:val="28"/>
          <w:szCs w:val="28"/>
        </w:rPr>
        <w:t xml:space="preserve">Мальшина</w:t>
      </w:r>
      <w:r>
        <w:rPr>
          <w:rFonts w:ascii="Times New Roman" w:hAnsi="Times New Roman" w:cs="Times New Roman"/>
          <w:sz w:val="28"/>
          <w:szCs w:val="28"/>
        </w:rPr>
        <w:t xml:space="preserve">» – для лиц старше 60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Скопинский</w:t>
      </w:r>
      <w:r>
        <w:rPr>
          <w:rFonts w:ascii="Times New Roman" w:hAnsi="Times New Roman" w:cs="Times New Roman"/>
          <w:sz w:val="28"/>
          <w:szCs w:val="28"/>
        </w:rPr>
        <w:t xml:space="preserve"> дом социального обслуживания»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инвалидов и лиц старше 60 лет, 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бюджетного стационарного учреждения Рязанской области «Михайловский дом социального обслуживания»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инвалидов и лиц старше 60 лет, без детей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на базе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автономного учреждения Рязанской области  «Рязанский многопрофильный социально-реабилитационный центр «Сосновый бор».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ПВР создаются и организуют свою работу в целях проведения мероприятий по временному социально-бытовому обустройству граждан Российской Федерации, иностранных граждан и лиц без гражданства, пострадавших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чрезвычайной ситуации, произошедшей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– городского округа город Рязань              15 мая 2026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Основными функциями и задачами ПВР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организованное размещение прибывающих граждан в жилых помещениях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 учетом пола, возраста, родственных связей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включающее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>
        <w:rPr>
          <w:rFonts w:ascii="Times New Roman" w:hAnsi="Times New Roman" w:cs="Times New Roman"/>
          <w:sz w:val="28"/>
          <w:szCs w:val="28"/>
        </w:rPr>
        <w:t xml:space="preserve">коммунальны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, услуг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связи, услуг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по стирке, по содержанию и охране помещений, текущего ремонта, обустройства территории, приобретение мягкого и хозяйственного инвентаря, средств личной гигиены, товаров бытовой химии, оборудования и мебели, расходы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транспорт)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проживающих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дежурства ответственных работников, сбор заявок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обращений проживающих.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Руководители ПВР организуют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Издают приказы 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назначении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лиц за работу в ПВР;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выделении</w:t>
      </w:r>
      <w:r>
        <w:rPr>
          <w:rFonts w:ascii="Times New Roman" w:hAnsi="Times New Roman" w:cs="Times New Roman"/>
          <w:sz w:val="28"/>
          <w:szCs w:val="28"/>
        </w:rPr>
        <w:t xml:space="preserve"> помещения для организации мероприятий по временному социально-бытовому обустройству людей;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утверждении документов, регламентирующих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организацию работы ПВР;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утверждении списка лиц, зачисленных в ПВР.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Обеспечивают: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ind w:firstLine="43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направление необходимых документов в министерство труда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и социальной защиты населения Рязанской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 (кон</w:t>
      </w:r>
      <w:r>
        <w:rPr>
          <w:rFonts w:ascii="Times New Roman" w:hAnsi="Times New Roman" w:cs="Times New Roman"/>
          <w:sz w:val="28"/>
          <w:szCs w:val="28"/>
        </w:rPr>
        <w:t xml:space="preserve">трактов)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 целях обеспечения мероприятий по временному социально-бытовому обустройству прибывших граждан;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постоянное наблюдение за состоянием здоровья прибывших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раздельный учет расходов на обеспечение мероприятий по временному социально-бытовому обустройству прибывших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ind w:firstLine="432"/>
        <w:jc w:val="both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- целевое, адресное и эффективное использование субсидии</w:t>
      </w:r>
      <w:r>
        <w:rPr>
          <w:sz w:val="28"/>
          <w:szCs w:val="28"/>
        </w:rPr>
        <w:t xml:space="preserve">, выделенной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развертывание и содержание пунктов временного </w:t>
      </w:r>
      <w:r>
        <w:rPr>
          <w:sz w:val="28"/>
          <w:szCs w:val="28"/>
        </w:rPr>
        <w:t xml:space="preserve">размещения и питания для граждан </w:t>
      </w:r>
      <w:r>
        <w:rPr>
          <w:sz w:val="28"/>
          <w:szCs w:val="28"/>
        </w:rPr>
        <w:t xml:space="preserve">из расчета за временное размещение – </w:t>
      </w:r>
      <w:r>
        <w:rPr>
          <w:sz w:val="28"/>
          <w:szCs w:val="28"/>
        </w:rPr>
        <w:t xml:space="preserve">до 913 рублей на человека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сутки, за питание – </w:t>
      </w:r>
      <w:r>
        <w:rPr>
          <w:sz w:val="28"/>
          <w:szCs w:val="28"/>
        </w:rPr>
        <w:t xml:space="preserve">до 415 рублей на человека в сутки</w:t>
      </w:r>
      <w:r>
        <w:rPr>
          <w:sz w:val="28"/>
          <w:szCs w:val="28"/>
        </w:rPr>
        <w:t xml:space="preserve"> (основание: пункт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4 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бюджетам субъектов Российской Федерации на финансовое обеспечение отдельных мер по ликвидации чрезвычайных ситуаций природного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</w:t>
      </w:r>
      <w:r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постановлением Правительства Российской Федерации от 28.12.2019 № 1928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Зачисление граждан в ПВР осуществляется на основании актов (приказов, распоряжений) по учреждению в соответствии со списками, согласованными с министерством труда и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целях отчетности в ПВР ведутся регистры учета дней нахождения граждан в ПВР по форме, согласованной с министерством труда и социальной защиты населения Рязанской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ПВР осуществляют свою деятельность в течение необходимого срока,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но не более 6 месяцев.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22.05.2026 № 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и порядке работы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пунктов временного размещения»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6"/>
        <w:ind w:firstLine="432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hyperlink r:id="rId18" w:tooltip="https://login.consultant.ru/link/?req=doc&amp;base=RLAW073&amp;n=455214&amp;dst=100085&amp;field=134&amp;date=21.05.2026" w:history="1">
        <w:r>
          <w:rPr>
            <w:rStyle w:val="954"/>
            <w:color w:val="auto"/>
            <w:sz w:val="28"/>
            <w:szCs w:val="28"/>
            <w:u w:val="none"/>
          </w:rPr>
          <w:t xml:space="preserve">Порядок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432"/>
        <w:jc w:val="center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определения объема и условия предоставления из областного бюджета государственным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на иные цели в соответствии с </w:t>
      </w:r>
      <w:hyperlink r:id="rId19" w:tooltip="https://login.consultant.ru/link/?req=doc&amp;base=LAW&amp;n=495710&amp;dst=3146&amp;field=134&amp;date=21.05.2026" w:history="1">
        <w:r>
          <w:rPr>
            <w:rStyle w:val="954"/>
            <w:color w:val="auto"/>
            <w:sz w:val="28"/>
            <w:szCs w:val="28"/>
            <w:u w:val="none"/>
          </w:rPr>
          <w:t xml:space="preserve">абзацем вторым пункта 1 статьи 78.1</w:t>
        </w:r>
      </w:hyperlink>
      <w:r>
        <w:rPr>
          <w:sz w:val="28"/>
          <w:szCs w:val="28"/>
        </w:rPr>
        <w:t xml:space="preserve"> Бюджетного кодекса Российской Федерации на реализацию мероприятия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обеспечению временного социально-бытового обустройства отдельных категорий граждан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432"/>
        <w:jc w:val="both"/>
        <w:spacing w:before="0" w:beforeAutospacing="0" w:after="0" w:afterAutospacing="0" w:line="230" w:lineRule="atLeast"/>
      </w:pPr>
      <w:r/>
      <w:r/>
    </w:p>
    <w:p>
      <w:pPr>
        <w:pStyle w:val="956"/>
        <w:ind w:firstLine="432"/>
        <w:jc w:val="both"/>
        <w:spacing w:before="0" w:beforeAutospacing="0" w:after="0" w:afterAutospacing="0" w:line="230" w:lineRule="atLeast"/>
      </w:pPr>
      <w:r/>
      <w:r/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регламентирует определение объема, условия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механизм предоставления государственным бюджетным учреждениям Рязанской области</w:t>
      </w:r>
      <w:r>
        <w:rPr>
          <w:sz w:val="28"/>
          <w:szCs w:val="28"/>
        </w:rPr>
        <w:t xml:space="preserve"> и государственному автономному учреждению Рязанской области</w:t>
      </w:r>
      <w:r>
        <w:rPr>
          <w:sz w:val="28"/>
          <w:szCs w:val="28"/>
        </w:rPr>
        <w:t xml:space="preserve">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на реализацию мероприятий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по обеспечению временного социально-бытового обустройства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граждан Российской Федерации, иностранных граждан и лиц без гражданства, пострадавших в результате чрезвычайной ситуации, произошедшей на территории муниципального образования – городского округа город Рязань  15 мая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настоящим Порядком субсидии предоставляются государственным бюджетным учреждениям Рязанской области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и государственному автономному учреждению Рязанской области </w:t>
      </w:r>
      <w:r>
        <w:rPr>
          <w:sz w:val="28"/>
          <w:szCs w:val="28"/>
        </w:rPr>
        <w:t xml:space="preserve">(далее – Учреждения), в целях обеспечения временного социально-бытового обустройства: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граждан Российской Федерации, иностранных граждан и лиц без гражданства, пострадавших в результате чрезвычайной ситуации, произошедшей на территории муниципального образования – городского округа город Рязань 15 мая 2026 года</w:t>
      </w:r>
      <w:r>
        <w:rPr>
          <w:sz w:val="28"/>
          <w:szCs w:val="28"/>
        </w:rPr>
        <w:t xml:space="preserve">, в том числе временное размещение (оплату коммунальных услуг, услуг связи, услуг по стирке, услуг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по содержанию и охране помещений, оплату текущего ремонта, обустройства территории, оплату труда, приобретение мягкого и хозяйственного инвентаря, </w:t>
      </w:r>
      <w:r>
        <w:rPr>
          <w:sz w:val="28"/>
          <w:szCs w:val="28"/>
        </w:rPr>
        <w:t xml:space="preserve">средств личной</w:t>
      </w:r>
      <w:r>
        <w:rPr>
          <w:sz w:val="28"/>
          <w:szCs w:val="28"/>
        </w:rPr>
        <w:t xml:space="preserve"> гигиены, товаров бытовой химии, оборудования и мебели, расходы на транспорт), питание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Исполнительным органом Рязанской области, осуществляющим функции и полномочия уч</w:t>
      </w:r>
      <w:r>
        <w:rPr>
          <w:sz w:val="28"/>
          <w:szCs w:val="28"/>
        </w:rPr>
        <w:t xml:space="preserve">редителя в отношении Учреждений, является министерство труда и социальной защиты населения Рязанской области                       (далее – Министерство), до которого в соответствии с бюджетным законодательством Российской Федерации как до получателя бюджетных средств доведены </w:t>
      </w:r>
      <w:r>
        <w:rPr>
          <w:sz w:val="28"/>
          <w:szCs w:val="28"/>
        </w:rPr>
        <w:t xml:space="preserve">в установленном порядке лимиты бюджетных обязательств на предоставление субсидий на соответствующий финансовый год.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4. Субсидия предоставляется при соблюдении следующих условий: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включение Учреждения в перечень </w:t>
      </w:r>
      <w:hyperlink r:id="rId20" w:tooltip="https://login.consultant.ru/link/?req=doc&amp;base=RLAW073&amp;n=466303&amp;dst=100075&amp;field=134&amp;date=21.05.2026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пунктов</w:t>
        </w:r>
      </w:hyperlink>
      <w:r>
        <w:rPr>
          <w:sz w:val="28"/>
          <w:szCs w:val="28"/>
        </w:rPr>
        <w:t xml:space="preserve"> временного размещения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на базе государственных учреждений Рязанской области, определенный </w:t>
      </w:r>
      <w:r>
        <w:rPr>
          <w:sz w:val="28"/>
          <w:szCs w:val="28"/>
        </w:rPr>
        <w:t xml:space="preserve">настоящим постановлением;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соответствие Учреждения на 1-е число месяца, предшествующего месяцу, в котором планируется принятие решения о предоставлении субсидии, следующему требованию: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бюджетных инвестиций, </w:t>
      </w:r>
      <w:r>
        <w:rPr>
          <w:sz w:val="28"/>
          <w:szCs w:val="28"/>
        </w:rPr>
        <w:t xml:space="preserve">предоставленных</w:t>
      </w:r>
      <w:r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со</w:t>
      </w:r>
      <w:r>
        <w:rPr>
          <w:sz w:val="28"/>
          <w:szCs w:val="28"/>
        </w:rPr>
        <w:t xml:space="preserve">ответствии с иными правовыми актами, за исключением случаев предоставления субсидии на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 w:line="230" w:lineRule="atLeast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Для получения субсидий Учреждение представляет в Министерство </w:t>
      </w:r>
      <w:r>
        <w:rPr>
          <w:sz w:val="28"/>
          <w:szCs w:val="28"/>
        </w:rPr>
        <w:t xml:space="preserve">заявку посредством межведомственной системы электронного документооборота и делопроизводства Рязанской области (далее – МСЭДД)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произвольной форме </w:t>
      </w:r>
      <w:r>
        <w:rPr>
          <w:sz w:val="28"/>
          <w:szCs w:val="28"/>
        </w:rPr>
        <w:t xml:space="preserve">и подписанную руководителем и главным бухгалтером Учреждения</w:t>
      </w:r>
      <w:r>
        <w:rPr>
          <w:sz w:val="28"/>
          <w:szCs w:val="28"/>
        </w:rPr>
        <w:t xml:space="preserve"> с приложением финансово-экономического обоснования, сформированного в соответствии с </w:t>
      </w:r>
      <w:hyperlink w:tooltip="#p32" w:anchor="p32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пунктом 6</w:t>
        </w:r>
      </w:hyperlink>
      <w:r>
        <w:rPr>
          <w:sz w:val="28"/>
          <w:szCs w:val="28"/>
        </w:rPr>
        <w:t xml:space="preserve"> настоящего Порядка (далее – заявка).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Заявка регистрируется в день ее поступления в Министерство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 установленном порядке с указанием даты поступления.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6. Финансово-экономическое обоснование должно содержать: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в </w:t>
      </w:r>
      <w:hyperlink w:tooltip="#p19" w:anchor="p19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пункте 2</w:t>
        </w:r>
      </w:hyperlink>
      <w:r>
        <w:rPr>
          <w:sz w:val="28"/>
          <w:szCs w:val="28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(за исключением недвижимого имущества), предложения поставщиков (подрядчиков, исполнителей), а также размера финансового обеспечения мероприятий на 1 человека в сутки;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информацию о планируемом к приобретению имуществе.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Министерство в течение 3 рабочих дней со дня регистрации заявки осуществляет проверку полноты представленных документов, достоверности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документальной обоснованности содержащейся в них информации, целей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 условий предоставления субсидии и принимает решение в форме приказа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 предоставлении субсидии и заключении соглашения о предоставлении субсидии (далее – Соглашение) либо об отказе в предоставлении субсидии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 уведомлением Учреждения о принятом решении с указанием причин</w:t>
      </w:r>
      <w:r>
        <w:rPr>
          <w:sz w:val="28"/>
          <w:szCs w:val="28"/>
        </w:rPr>
        <w:t xml:space="preserve"> отказа</w:t>
      </w:r>
      <w:r>
        <w:rPr>
          <w:sz w:val="28"/>
          <w:szCs w:val="28"/>
        </w:rPr>
        <w:t xml:space="preserve"> посредством МСЭДД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субсидии повторная заявка предоставляется Учреждением и рассматривается Министерством в порядке, установленном </w:t>
      </w:r>
      <w:hyperlink w:tooltip="#p25" w:anchor="p25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пунктами 4</w:t>
        </w:r>
      </w:hyperlink>
      <w:r>
        <w:rPr>
          <w:sz w:val="28"/>
          <w:szCs w:val="28"/>
        </w:rPr>
        <w:t xml:space="preserve"> – </w:t>
      </w:r>
      <w:hyperlink w:tooltip="#p35" w:anchor="p35" w:history="1">
        <w:r>
          <w:rPr>
            <w:rStyle w:val="954"/>
            <w:color w:val="auto"/>
            <w:sz w:val="28"/>
            <w:szCs w:val="28"/>
            <w:u w:val="none"/>
          </w:rPr>
          <w:t xml:space="preserve">7</w:t>
        </w:r>
      </w:hyperlink>
      <w:r>
        <w:rPr>
          <w:sz w:val="28"/>
          <w:szCs w:val="28"/>
        </w:rPr>
        <w:t xml:space="preserve"> настоящего Порядка, при условии устранения причин, послуживших основанием для принятия решения об отказе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предоставлении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Основанием для отказа Учреждению в предоставлении субсидии является: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</w:t>
      </w:r>
      <w:hyperlink w:tooltip="#p30" w:anchor="p30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пунктами 5</w:t>
        </w:r>
      </w:hyperlink>
      <w:r>
        <w:rPr>
          <w:sz w:val="28"/>
          <w:szCs w:val="28"/>
        </w:rPr>
        <w:t xml:space="preserve"> – </w:t>
      </w:r>
      <w:hyperlink w:tooltip="#p32" w:anchor="p32" w:history="1">
        <w:r>
          <w:rPr>
            <w:rStyle w:val="954"/>
            <w:color w:val="auto"/>
            <w:sz w:val="28"/>
            <w:szCs w:val="28"/>
            <w:u w:val="none"/>
          </w:rPr>
          <w:t xml:space="preserve">6</w:t>
        </w:r>
      </w:hyperlink>
      <w:r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отсутствие доведенных до Министерства бюджетных ассигнований, предусмотренных на предоставление субсидий;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целей и условий предоставления субсидии, указанных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финансово-экономическом обосновании, целям и условиям предоставления субсидии, указанным в </w:t>
      </w:r>
      <w:hyperlink w:tooltip="#p19" w:anchor="p19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пунктах 2</w:t>
        </w:r>
      </w:hyperlink>
      <w:r>
        <w:rPr>
          <w:sz w:val="28"/>
          <w:szCs w:val="28"/>
        </w:rPr>
        <w:t xml:space="preserve">, </w:t>
      </w:r>
      <w:hyperlink w:tooltip="#p25" w:anchor="p25" w:history="1">
        <w:r>
          <w:rPr>
            <w:rStyle w:val="954"/>
            <w:color w:val="auto"/>
            <w:sz w:val="28"/>
            <w:szCs w:val="28"/>
            <w:u w:val="none"/>
          </w:rPr>
          <w:t xml:space="preserve">4</w:t>
        </w:r>
      </w:hyperlink>
      <w:r>
        <w:rPr>
          <w:sz w:val="28"/>
          <w:szCs w:val="28"/>
        </w:rPr>
        <w:t xml:space="preserve"> настоящего Порядка;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 поступление подписанного проекта Соглашения, сведений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 невозможности подписания проекта Соглашения в Министерство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из Учреждения, в установленный </w:t>
      </w:r>
      <w:hyperlink w:tooltip="#p44" w:anchor="p44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пунктом 10</w:t>
        </w:r>
      </w:hyperlink>
      <w:r>
        <w:rPr>
          <w:sz w:val="28"/>
          <w:szCs w:val="28"/>
        </w:rPr>
        <w:t xml:space="preserve"> настоящего Порядка срок.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Предоставление субсидий осуществляется Министерством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432"/>
        <w:jc w:val="both"/>
        <w:spacing w:before="0" w:beforeAutospacing="0" w:after="0" w:afterAutospacing="0" w:line="230" w:lineRule="atLeast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Предоставление субсидии осуществляется в соответствии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с Соглашением, заключаемым </w:t>
      </w:r>
      <w:r>
        <w:rPr>
          <w:sz w:val="28"/>
          <w:szCs w:val="28"/>
        </w:rPr>
        <w:t xml:space="preserve">в системе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Электронный бюджет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межд</w:t>
      </w:r>
      <w:r>
        <w:rPr>
          <w:sz w:val="28"/>
          <w:szCs w:val="28"/>
        </w:rPr>
        <w:t xml:space="preserve">у Министерством и Учреждением в соответствии с типовой формой,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вправе устанавливать в Соглашении формы представления Учреждением дополнительной отчетности и сроки их представления.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соглашения к Соглашению, предусматривающие внесение в него изменений или его расторжение, заключаются в соответствии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Размер субсидии определяется Министерством на основании финансово-экономического обоснования, подготовленного Учреждением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соответствии с </w:t>
      </w:r>
      <w:hyperlink w:tooltip="#p32" w:anchor="p32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пунктом 6</w:t>
        </w:r>
      </w:hyperlink>
      <w:r>
        <w:rPr>
          <w:sz w:val="28"/>
          <w:szCs w:val="28"/>
        </w:rPr>
        <w:t xml:space="preserve"> настоящего Порядка, и составляет сумму затрат на реализацию мероприятий, подтвержденных документами, указанными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</w:t>
      </w:r>
      <w:hyperlink w:tooltip="#p30" w:anchor="p30" w:history="1">
        <w:r>
          <w:rPr>
            <w:rStyle w:val="954"/>
            <w:color w:val="auto"/>
            <w:sz w:val="28"/>
            <w:szCs w:val="28"/>
            <w:u w:val="none"/>
          </w:rPr>
          <w:t xml:space="preserve">пунктах 5</w:t>
        </w:r>
      </w:hyperlink>
      <w:r>
        <w:rPr>
          <w:sz w:val="28"/>
          <w:szCs w:val="28"/>
        </w:rPr>
        <w:t xml:space="preserve"> – </w:t>
      </w:r>
      <w:hyperlink w:tooltip="#p32" w:anchor="p32" w:history="1">
        <w:r>
          <w:rPr>
            <w:rStyle w:val="954"/>
            <w:color w:val="auto"/>
            <w:sz w:val="28"/>
            <w:szCs w:val="28"/>
            <w:u w:val="none"/>
          </w:rPr>
          <w:t xml:space="preserve">6</w:t>
        </w:r>
      </w:hyperlink>
      <w:r>
        <w:rPr>
          <w:sz w:val="28"/>
          <w:szCs w:val="28"/>
        </w:rPr>
        <w:t xml:space="preserve"> настоящего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Учреждение ежеквартально, не позднее 15 рабочих дней месяца, следующего за отчетным кварталом, представляет в Министерство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 сопроводительным письмом отчет о расходах, источником финансового обеспечения которых является субсидия (далее – Отчет), по форме, указанной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Соглашении.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представляется в Министерство посредством </w:t>
      </w:r>
      <w:r>
        <w:rPr>
          <w:sz w:val="28"/>
          <w:szCs w:val="28"/>
        </w:rPr>
        <w:t xml:space="preserve">МСЭДД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регистрируется в день его поступления в Министерство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установленном порядке с указанием даты поступления.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в течение 10 рабочих дней со дня поступления Отчета осуществляет его проверку, в том числе на предмет соблюдения цели предоставления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проверки Министерство вправе письменно запрашивать у Учреждения дополнительную информацию, подтверждающую целевое использование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выявлении нарушения цели предоставления субсидии (нецелевог</w:t>
      </w:r>
      <w:r>
        <w:rPr>
          <w:sz w:val="28"/>
          <w:szCs w:val="28"/>
        </w:rPr>
        <w:t xml:space="preserve">о использования субсидии) Министерством в срок, не превышающий 5 рабочих дней после завершения срока проведения проверки, составляется акт проверки Отчета, копия которого в срок, не позднее 5 рабочих дней с момента его составления направляется Учреждению.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соответствии с решением Министерства о наличии потребности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очередном финансовом году.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Учреждение в срок до 15 января очередного финансового года представляет в Министерство заявление о направлении не использованных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на 1 января очередного финансового года остатков средств субсидии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достижение целей, установленных при предоставлении субсидии, в свободной форме (далее – заявление).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заявлением Учреждение предоставляет: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пояснител</w:t>
      </w:r>
      <w:r>
        <w:rPr>
          <w:sz w:val="28"/>
          <w:szCs w:val="28"/>
        </w:rPr>
        <w:t xml:space="preserve">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ее предоставления, с приложением документов, подтверждающих факты, изложенные в ней;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информацию о наличии у Учреждения неисполненных обязательств, источником финансового обеспечения которых являются не использованные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 1 января текущего финансового года остатки субсидий и (или) средства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возврата ранее произведенных </w:t>
      </w:r>
      <w:r>
        <w:rPr>
          <w:sz w:val="28"/>
          <w:szCs w:val="28"/>
        </w:rPr>
        <w:t xml:space="preserve">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 (далее – информация о наличии у Учреждения неисполненных обязательств).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</w:t>
      </w:r>
      <w:r>
        <w:rPr>
          <w:sz w:val="28"/>
          <w:szCs w:val="28"/>
        </w:rPr>
        <w:t xml:space="preserve">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1 января очередного финансового года.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Заявление регистрируется в день поступления в журнале входящей корреспонденции с указанием даты поступления.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рассматривает поступившие заявление и пояснительную записку в срок, не превышающий 10 рабочих дней </w:t>
      </w:r>
      <w:r>
        <w:rPr>
          <w:sz w:val="28"/>
          <w:szCs w:val="28"/>
        </w:rPr>
        <w:t xml:space="preserve">с даты регистрации</w:t>
      </w:r>
      <w:r>
        <w:rPr>
          <w:sz w:val="28"/>
          <w:szCs w:val="28"/>
        </w:rPr>
        <w:t xml:space="preserve"> заявления, и принимает решение о наличии потребности в направлении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не использованных на 1 января очередного финансового года остатков средств субсидии на достижение целей, установленных при предоставлении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Решение в форме приказа о наличии потребности в направлении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не использованных на 1 января очередного</w:t>
      </w:r>
      <w:r>
        <w:rPr>
          <w:sz w:val="28"/>
          <w:szCs w:val="28"/>
        </w:rPr>
        <w:t xml:space="preserve"> финансового года остатков средств субсидии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</w:t>
      </w:r>
      <w:hyperlink w:tooltip="#p67" w:anchor="p67" w:history="1">
        <w:r>
          <w:rPr>
            <w:rStyle w:val="954"/>
            <w:color w:val="auto"/>
            <w:sz w:val="28"/>
            <w:szCs w:val="28"/>
            <w:u w:val="none"/>
          </w:rPr>
          <w:t xml:space="preserve">абзаца второго</w:t>
        </w:r>
      </w:hyperlink>
      <w:r>
        <w:rPr>
          <w:sz w:val="28"/>
          <w:szCs w:val="28"/>
        </w:rPr>
        <w:t xml:space="preserve"> настоящего пункта.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письменно в срок, не превышающий 5 рабочих дней </w:t>
      </w:r>
      <w:r>
        <w:rPr>
          <w:sz w:val="28"/>
          <w:szCs w:val="28"/>
        </w:rPr>
        <w:t xml:space="preserve">с даты принятия</w:t>
      </w:r>
      <w:r>
        <w:rPr>
          <w:sz w:val="28"/>
          <w:szCs w:val="28"/>
        </w:rPr>
        <w:t xml:space="preserve"> решения, уведомляет Учреждение о принятом решении.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Министерство принимает решение в форме приказа об использовании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Учреждение не позднее 3 рабочих дней со дня поступления в текущем финансовом году средств по ранее произведенным Учреждением выплатам, </w:t>
      </w:r>
      <w:r>
        <w:rPr>
          <w:sz w:val="28"/>
          <w:szCs w:val="28"/>
        </w:rPr>
        <w:t xml:space="preserve">источником финансового обеспечения которых является субсидия для достижения целей, установленных при предоставлении субсидии, направляет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 Министерство пояснительную записку, которая должна содержать причину возврата указанных выплат и необходимость их дальнейшего использования, информацию о наличии у Учреждения неисполненных обязательств.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регистрируется в день поступления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в установленном порядке с указанием даты поступления.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рассматривает поступившую пояснительную записку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срок, не превышающий 10 рабочих дней с даты регистрации, и принимает решение об использовании в текущем финансовом году поступлений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условий или расторжением в соответствии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связи с реализацией требований обеспечения исполнения заключенных Учреждениями контрактов (договоров);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связи с возвратом в соответствии с законодательством Российской Федерации о налогах</w:t>
      </w:r>
      <w:r>
        <w:rPr>
          <w:sz w:val="28"/>
          <w:szCs w:val="28"/>
        </w:rPr>
        <w:t xml:space="preserve"> и сборах излишне уплаченных сумм налогов, сборов, страховых взносов, пеней, штрафов и процентов;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связи с возвратом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письменно в срок, не превышающий 5 рабочих дней </w:t>
      </w:r>
      <w:r>
        <w:rPr>
          <w:sz w:val="28"/>
          <w:szCs w:val="28"/>
        </w:rPr>
        <w:t xml:space="preserve">с даты принятия</w:t>
      </w:r>
      <w:r>
        <w:rPr>
          <w:sz w:val="28"/>
          <w:szCs w:val="28"/>
        </w:rPr>
        <w:t xml:space="preserve"> решения, уведомляет Учреждение о принятом решении.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соблю</w:t>
      </w:r>
      <w:r>
        <w:rPr>
          <w:sz w:val="28"/>
          <w:szCs w:val="28"/>
        </w:rPr>
        <w:t xml:space="preserve">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путем осуществления плановых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и внеплановых проверок, включающих документальное изучение операций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с использованием средств субсидии, произведенных Учреждением, по месту нахождения Учреждения и (или) </w:t>
      </w:r>
      <w:r>
        <w:rPr>
          <w:sz w:val="28"/>
          <w:szCs w:val="28"/>
        </w:rPr>
        <w:t xml:space="preserve">камерально</w:t>
      </w:r>
      <w:r>
        <w:rPr>
          <w:sz w:val="28"/>
          <w:szCs w:val="28"/>
        </w:rPr>
        <w:t xml:space="preserve"> на основании документов, представленных Учреждением по письменному запросу Министерства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течение 3 рабочих дней со дня получения Учреждением такого запроса.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 случае установления по итогам проверок, проведенных Министерством и (или) органами государственного финансового контроля, </w:t>
      </w:r>
      <w:r>
        <w:rPr>
          <w:sz w:val="28"/>
          <w:szCs w:val="28"/>
        </w:rPr>
        <w:t xml:space="preserve">фактов нарушения целей и условий предоставления субсидии соответствующие средства подлежат возврату в областной бюджет: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Министерства – в течение 30 календарных дней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со дня получения требования на указанный в нем расчетный счет;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 соответствии с бюджетным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заказным почтовым отправлением с уведомлением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вручении</w:t>
      </w:r>
      <w:r>
        <w:rPr>
          <w:sz w:val="28"/>
          <w:szCs w:val="28"/>
        </w:rPr>
        <w:t xml:space="preserve"> о необходимости возврата полученной субсидии в течение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30 календарных дней со дня получения такого требования на указанный в нем расчетный счет.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Учреждением в установленный срок требования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 возврате субсидии Министерство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областной бюджет в судебном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 Ответственность за достоверность данных в документах, являющихся основанием для предоставления субсидии, несет получатель субсидии.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notePr/>
      <w:endnotePr/>
      <w:type w:val="nextPage"/>
      <w:pgSz w:w="11907" w:h="16834" w:orient="portrait"/>
      <w:pgMar w:top="567" w:right="567" w:bottom="1134" w:left="1701" w:header="539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ET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42"/>
      </w:rPr>
      <w:framePr w:wrap="around" w:vAnchor="text" w:hAnchor="margin" w:xAlign="right" w:y="1"/>
    </w:pPr>
    <w:r>
      <w:rPr>
        <w:rStyle w:val="942"/>
      </w:rPr>
      <w:fldChar w:fldCharType="begin"/>
    </w:r>
    <w:r>
      <w:rPr>
        <w:rStyle w:val="942"/>
      </w:rPr>
      <w:instrText xml:space="preserve">PAGE  </w:instrText>
    </w:r>
    <w:r>
      <w:rPr>
        <w:rStyle w:val="942"/>
      </w:rPr>
      <w:fldChar w:fldCharType="end"/>
    </w:r>
    <w:r>
      <w:rPr>
        <w:rStyle w:val="942"/>
      </w:rPr>
    </w:r>
    <w:r>
      <w:rPr>
        <w:rStyle w:val="942"/>
      </w:rPr>
    </w:r>
  </w:p>
  <w:p>
    <w:pPr>
      <w:pStyle w:val="94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23854704"/>
      <w:docPartObj>
        <w:docPartGallery w:val="Page Numbers (Top of Page)"/>
        <w:docPartUnique w:val="true"/>
      </w:docPartObj>
      <w:rPr/>
    </w:sdtPr>
    <w:sdtContent>
      <w:p>
        <w:pPr>
          <w:pStyle w:val="938"/>
          <w:jc w:val="center"/>
        </w:pPr>
        <w:r>
          <w:fldChar w:fldCharType="begin"/>
        </w:r>
        <w:r>
          <w:instrText xml:space="preserve"> PAGE   \* MERGEFORMAT </w:instrText>
        </w:r>
        <w:r>
          <w:rPr>
            <w:rFonts w:ascii="Times New Roman" w:hAnsi="Times New Roman" w:eastAsia="Times New Roman" w:cs="Times New Roman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2"/>
      </w:rPr>
      <w:framePr w:wrap="around" w:vAnchor="text" w:hAnchor="margin" w:xAlign="center" w:y="1"/>
    </w:pPr>
    <w:r>
      <w:rPr>
        <w:rStyle w:val="942"/>
      </w:rPr>
      <w:fldChar w:fldCharType="begin"/>
    </w:r>
    <w:r>
      <w:rPr>
        <w:rStyle w:val="942"/>
      </w:rPr>
      <w:instrText xml:space="preserve">PAGE  </w:instrText>
    </w:r>
    <w:r>
      <w:rPr>
        <w:rStyle w:val="942"/>
      </w:rPr>
      <w:fldChar w:fldCharType="separate"/>
    </w:r>
    <w:r>
      <w:rPr>
        <w:rStyle w:val="942"/>
      </w:rPr>
      <w:t xml:space="preserve">1</w:t>
    </w:r>
    <w:r>
      <w:rPr>
        <w:rStyle w:val="942"/>
      </w:rPr>
      <w:fldChar w:fldCharType="end"/>
    </w:r>
    <w:r>
      <w:rPr>
        <w:rStyle w:val="942"/>
      </w:rPr>
    </w:r>
    <w:r>
      <w:rPr>
        <w:rStyle w:val="942"/>
      </w:rPr>
    </w:r>
  </w:p>
  <w:p>
    <w:pPr>
      <w:pStyle w:val="93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72069207"/>
      <w:docPartObj>
        <w:docPartGallery w:val="Page Numbers (Top of Page)"/>
        <w:docPartUnique w:val="true"/>
      </w:docPartObj>
      <w:rPr/>
    </w:sdtPr>
    <w:sdtContent>
      <w:p>
        <w:pPr>
          <w:pStyle w:val="938"/>
          <w:jc w:val="center"/>
        </w:pPr>
        <w:r/>
        <w:r/>
      </w:p>
    </w:sdtContent>
  </w:sdt>
  <w:p>
    <w:pPr>
      <w:pStyle w:val="9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Title Char"/>
    <w:basedOn w:val="760"/>
    <w:link w:val="780"/>
    <w:uiPriority w:val="10"/>
    <w:rPr>
      <w:sz w:val="48"/>
      <w:szCs w:val="48"/>
    </w:rPr>
  </w:style>
  <w:style w:type="character" w:styleId="754">
    <w:name w:val="Subtitle Char"/>
    <w:basedOn w:val="760"/>
    <w:link w:val="782"/>
    <w:uiPriority w:val="11"/>
    <w:rPr>
      <w:sz w:val="24"/>
      <w:szCs w:val="24"/>
    </w:rPr>
  </w:style>
  <w:style w:type="character" w:styleId="755">
    <w:name w:val="Quote Char"/>
    <w:link w:val="784"/>
    <w:uiPriority w:val="29"/>
    <w:rPr>
      <w:i/>
    </w:rPr>
  </w:style>
  <w:style w:type="character" w:styleId="756">
    <w:name w:val="Intense Quote Char"/>
    <w:link w:val="786"/>
    <w:uiPriority w:val="30"/>
    <w:rPr>
      <w:i/>
    </w:rPr>
  </w:style>
  <w:style w:type="character" w:styleId="757">
    <w:name w:val="Footnote Text Char"/>
    <w:link w:val="917"/>
    <w:uiPriority w:val="99"/>
    <w:rPr>
      <w:sz w:val="18"/>
    </w:rPr>
  </w:style>
  <w:style w:type="character" w:styleId="758">
    <w:name w:val="Endnote Text Char"/>
    <w:link w:val="920"/>
    <w:uiPriority w:val="99"/>
    <w:rPr>
      <w:sz w:val="20"/>
    </w:rPr>
  </w:style>
  <w:style w:type="paragraph" w:styleId="759" w:default="1">
    <w:name w:val="Normal"/>
    <w:qFormat/>
    <w:rPr>
      <w:rFonts w:ascii="TimesET" w:hAnsi="TimesET" w:eastAsia="Times New Roman"/>
      <w:sz w:val="26"/>
      <w:szCs w:val="26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link w:val="934"/>
    <w:uiPriority w:val="9"/>
    <w:rPr>
      <w:rFonts w:ascii="Arial" w:hAnsi="Arial" w:eastAsia="Arial" w:cs="Arial"/>
      <w:sz w:val="40"/>
      <w:szCs w:val="40"/>
    </w:rPr>
  </w:style>
  <w:style w:type="paragraph" w:styleId="764" w:customStyle="1">
    <w:name w:val="Heading 2"/>
    <w:basedOn w:val="759"/>
    <w:next w:val="759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 w:customStyle="1">
    <w:name w:val="Heading 2 Char"/>
    <w:basedOn w:val="760"/>
    <w:link w:val="764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0"/>
    <w:link w:val="935"/>
    <w:uiPriority w:val="9"/>
    <w:rPr>
      <w:rFonts w:ascii="Arial" w:hAnsi="Arial" w:eastAsia="Arial" w:cs="Arial"/>
      <w:sz w:val="30"/>
      <w:szCs w:val="30"/>
    </w:rPr>
  </w:style>
  <w:style w:type="paragraph" w:styleId="767" w:customStyle="1">
    <w:name w:val="Heading 4"/>
    <w:basedOn w:val="759"/>
    <w:next w:val="759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</w:rPr>
  </w:style>
  <w:style w:type="character" w:styleId="768" w:customStyle="1">
    <w:name w:val="Heading 4 Char"/>
    <w:basedOn w:val="760"/>
    <w:link w:val="767"/>
    <w:uiPriority w:val="9"/>
    <w:rPr>
      <w:rFonts w:ascii="Arial" w:hAnsi="Arial" w:eastAsia="Arial" w:cs="Arial"/>
      <w:b/>
      <w:bCs/>
      <w:sz w:val="26"/>
      <w:szCs w:val="26"/>
    </w:rPr>
  </w:style>
  <w:style w:type="paragraph" w:styleId="769" w:customStyle="1">
    <w:name w:val="Heading 5"/>
    <w:basedOn w:val="759"/>
    <w:next w:val="759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5 Char"/>
    <w:basedOn w:val="760"/>
    <w:link w:val="769"/>
    <w:uiPriority w:val="9"/>
    <w:rPr>
      <w:rFonts w:ascii="Arial" w:hAnsi="Arial" w:eastAsia="Arial" w:cs="Arial"/>
      <w:b/>
      <w:bCs/>
      <w:sz w:val="24"/>
      <w:szCs w:val="24"/>
    </w:rPr>
  </w:style>
  <w:style w:type="paragraph" w:styleId="771" w:customStyle="1">
    <w:name w:val="Heading 6"/>
    <w:basedOn w:val="759"/>
    <w:next w:val="759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6 Char"/>
    <w:basedOn w:val="760"/>
    <w:link w:val="771"/>
    <w:uiPriority w:val="9"/>
    <w:rPr>
      <w:rFonts w:ascii="Arial" w:hAnsi="Arial" w:eastAsia="Arial" w:cs="Arial"/>
      <w:b/>
      <w:bCs/>
      <w:sz w:val="22"/>
      <w:szCs w:val="22"/>
    </w:rPr>
  </w:style>
  <w:style w:type="paragraph" w:styleId="773" w:customStyle="1">
    <w:name w:val="Heading 7"/>
    <w:basedOn w:val="759"/>
    <w:next w:val="759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7 Char"/>
    <w:basedOn w:val="760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5" w:customStyle="1">
    <w:name w:val="Heading 8"/>
    <w:basedOn w:val="759"/>
    <w:next w:val="759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8 Char"/>
    <w:basedOn w:val="760"/>
    <w:link w:val="775"/>
    <w:uiPriority w:val="9"/>
    <w:rPr>
      <w:rFonts w:ascii="Arial" w:hAnsi="Arial" w:eastAsia="Arial" w:cs="Arial"/>
      <w:i/>
      <w:iCs/>
      <w:sz w:val="22"/>
      <w:szCs w:val="22"/>
    </w:rPr>
  </w:style>
  <w:style w:type="paragraph" w:styleId="777" w:customStyle="1">
    <w:name w:val="Heading 9"/>
    <w:basedOn w:val="759"/>
    <w:next w:val="759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Heading 9 Char"/>
    <w:basedOn w:val="760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</w:style>
  <w:style w:type="paragraph" w:styleId="780">
    <w:name w:val="Title"/>
    <w:basedOn w:val="759"/>
    <w:next w:val="759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 w:customStyle="1">
    <w:name w:val="Название Знак"/>
    <w:basedOn w:val="760"/>
    <w:link w:val="780"/>
    <w:uiPriority w:val="10"/>
    <w:rPr>
      <w:sz w:val="48"/>
      <w:szCs w:val="48"/>
    </w:rPr>
  </w:style>
  <w:style w:type="paragraph" w:styleId="782">
    <w:name w:val="Subtitle"/>
    <w:basedOn w:val="759"/>
    <w:next w:val="759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 w:customStyle="1">
    <w:name w:val="Подзаголовок Знак"/>
    <w:basedOn w:val="760"/>
    <w:link w:val="782"/>
    <w:uiPriority w:val="11"/>
    <w:rPr>
      <w:sz w:val="24"/>
      <w:szCs w:val="24"/>
    </w:rPr>
  </w:style>
  <w:style w:type="paragraph" w:styleId="784">
    <w:name w:val="Quote"/>
    <w:basedOn w:val="759"/>
    <w:next w:val="759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59"/>
    <w:next w:val="759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character" w:styleId="788" w:customStyle="1">
    <w:name w:val="Header Char"/>
    <w:basedOn w:val="760"/>
    <w:link w:val="938"/>
    <w:uiPriority w:val="99"/>
  </w:style>
  <w:style w:type="character" w:styleId="789" w:customStyle="1">
    <w:name w:val="Footer Char"/>
    <w:basedOn w:val="760"/>
    <w:link w:val="940"/>
    <w:uiPriority w:val="99"/>
  </w:style>
  <w:style w:type="paragraph" w:styleId="790" w:customStyle="1">
    <w:name w:val="Caption"/>
    <w:basedOn w:val="759"/>
    <w:next w:val="759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basedOn w:val="760"/>
    <w:link w:val="790"/>
    <w:uiPriority w:val="35"/>
    <w:rPr>
      <w:b/>
      <w:bCs/>
      <w:color w:val="4f81bd" w:themeColor="accent1"/>
      <w:sz w:val="18"/>
      <w:szCs w:val="18"/>
    </w:rPr>
  </w:style>
  <w:style w:type="table" w:styleId="792" w:customStyle="1">
    <w:name w:val="Table Grid Light"/>
    <w:basedOn w:val="76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Plain Table 1"/>
    <w:basedOn w:val="76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Plain Table 2"/>
    <w:basedOn w:val="76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Plain Table 3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 w:customStyle="1">
    <w:name w:val="Plain Table 4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Plain Table 5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1 Light"/>
    <w:basedOn w:val="76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6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6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6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6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6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6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2"/>
    <w:basedOn w:val="76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6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6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6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6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6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6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"/>
    <w:basedOn w:val="76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6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6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6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6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6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6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4"/>
    <w:basedOn w:val="76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6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6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6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6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6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6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 w:customStyle="1">
    <w:name w:val="Grid Table 5 Dark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6 Colorful"/>
    <w:basedOn w:val="76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6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6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6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6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6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6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7 Colorful"/>
    <w:basedOn w:val="76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6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6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6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6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6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6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6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2"/>
    <w:basedOn w:val="76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6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6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6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6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6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6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 w:customStyle="1">
    <w:name w:val="List Table 3"/>
    <w:basedOn w:val="76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6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6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6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6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6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6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"/>
    <w:basedOn w:val="76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6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6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6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6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6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6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5 Dark"/>
    <w:basedOn w:val="76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6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6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6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6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6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6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6 Colorful"/>
    <w:basedOn w:val="76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6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6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6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6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6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6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 w:customStyle="1">
    <w:name w:val="List Table 7 Colorful"/>
    <w:basedOn w:val="76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6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6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6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6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6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6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6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6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6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6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6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6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6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6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6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7">
    <w:name w:val="footnote text"/>
    <w:basedOn w:val="759"/>
    <w:link w:val="918"/>
    <w:uiPriority w:val="99"/>
    <w:semiHidden/>
    <w:unhideWhenUsed/>
    <w:pPr>
      <w:spacing w:after="40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basedOn w:val="760"/>
    <w:uiPriority w:val="99"/>
    <w:unhideWhenUsed/>
    <w:rPr>
      <w:vertAlign w:val="superscript"/>
    </w:rPr>
  </w:style>
  <w:style w:type="paragraph" w:styleId="920">
    <w:name w:val="endnote text"/>
    <w:basedOn w:val="759"/>
    <w:link w:val="921"/>
    <w:uiPriority w:val="99"/>
    <w:semiHidden/>
    <w:unhideWhenUsed/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basedOn w:val="760"/>
    <w:uiPriority w:val="99"/>
    <w:semiHidden/>
    <w:unhideWhenUsed/>
    <w:rPr>
      <w:vertAlign w:val="superscript"/>
    </w:rPr>
  </w:style>
  <w:style w:type="paragraph" w:styleId="923">
    <w:name w:val="toc 1"/>
    <w:basedOn w:val="759"/>
    <w:next w:val="759"/>
    <w:uiPriority w:val="39"/>
    <w:unhideWhenUsed/>
    <w:pPr>
      <w:spacing w:after="57"/>
    </w:pPr>
  </w:style>
  <w:style w:type="paragraph" w:styleId="924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5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26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27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28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29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30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31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9"/>
    <w:next w:val="759"/>
    <w:uiPriority w:val="99"/>
    <w:unhideWhenUsed/>
  </w:style>
  <w:style w:type="paragraph" w:styleId="934" w:customStyle="1">
    <w:name w:val="Heading 1"/>
    <w:basedOn w:val="759"/>
    <w:next w:val="759"/>
    <w:link w:val="936"/>
    <w:qFormat/>
    <w:pPr>
      <w:jc w:val="center"/>
      <w:keepNext/>
      <w:spacing w:line="288" w:lineRule="auto"/>
      <w:outlineLvl w:val="0"/>
    </w:pPr>
    <w:rPr>
      <w:rFonts w:ascii="Times New Roman" w:hAnsi="Times New Roman"/>
      <w:sz w:val="32"/>
    </w:rPr>
  </w:style>
  <w:style w:type="paragraph" w:styleId="935" w:customStyle="1">
    <w:name w:val="Heading 3"/>
    <w:basedOn w:val="759"/>
    <w:next w:val="759"/>
    <w:link w:val="937"/>
    <w:qFormat/>
    <w:pPr>
      <w:ind w:left="-1400" w:right="-45"/>
      <w:jc w:val="center"/>
      <w:keepNext/>
      <w:tabs>
        <w:tab w:val="left" w:pos="3255" w:leader="none"/>
        <w:tab w:val="center" w:pos="4700" w:leader="none"/>
      </w:tabs>
      <w:outlineLvl w:val="2"/>
    </w:pPr>
    <w:rPr>
      <w:rFonts w:ascii="Times New Roman" w:hAnsi="Times New Roman"/>
      <w:b/>
      <w:bCs/>
      <w:sz w:val="32"/>
      <w:szCs w:val="32"/>
    </w:rPr>
  </w:style>
  <w:style w:type="character" w:styleId="936" w:customStyle="1">
    <w:name w:val="Заголовок 1 Знак"/>
    <w:basedOn w:val="760"/>
    <w:link w:val="934"/>
    <w:rPr>
      <w:rFonts w:ascii="Times New Roman" w:hAnsi="Times New Roman" w:eastAsia="Times New Roman" w:cs="Times New Roman"/>
      <w:sz w:val="32"/>
      <w:szCs w:val="26"/>
      <w:lang w:eastAsia="ru-RU"/>
    </w:rPr>
  </w:style>
  <w:style w:type="character" w:styleId="937" w:customStyle="1">
    <w:name w:val="Заголовок 3 Знак"/>
    <w:basedOn w:val="760"/>
    <w:link w:val="935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938" w:customStyle="1">
    <w:name w:val="Header"/>
    <w:basedOn w:val="759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760"/>
    <w:link w:val="938"/>
    <w:uiPriority w:val="99"/>
    <w:rPr>
      <w:rFonts w:ascii="TimesET" w:hAnsi="TimesET" w:eastAsia="Times New Roman" w:cs="Times New Roman"/>
      <w:sz w:val="26"/>
      <w:szCs w:val="26"/>
      <w:lang w:eastAsia="ru-RU"/>
    </w:rPr>
  </w:style>
  <w:style w:type="paragraph" w:styleId="940" w:customStyle="1">
    <w:name w:val="Footer"/>
    <w:basedOn w:val="759"/>
    <w:link w:val="941"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760"/>
    <w:link w:val="940"/>
    <w:rPr>
      <w:rFonts w:ascii="TimesET" w:hAnsi="TimesET" w:eastAsia="Times New Roman" w:cs="Times New Roman"/>
      <w:sz w:val="26"/>
      <w:szCs w:val="26"/>
      <w:lang w:eastAsia="ru-RU"/>
    </w:rPr>
  </w:style>
  <w:style w:type="character" w:styleId="942">
    <w:name w:val="page number"/>
    <w:basedOn w:val="760"/>
  </w:style>
  <w:style w:type="paragraph" w:styleId="943">
    <w:name w:val="Body Text"/>
    <w:basedOn w:val="759"/>
    <w:link w:val="944"/>
    <w:pPr>
      <w:ind w:right="-45"/>
      <w:jc w:val="center"/>
    </w:pPr>
    <w:rPr>
      <w:rFonts w:ascii="Times New Roman" w:hAnsi="Times New Roman"/>
      <w:b/>
      <w:bCs/>
      <w:sz w:val="28"/>
      <w:szCs w:val="28"/>
    </w:rPr>
  </w:style>
  <w:style w:type="character" w:styleId="944" w:customStyle="1">
    <w:name w:val="Основной текст Знак"/>
    <w:basedOn w:val="760"/>
    <w:link w:val="94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5" w:customStyle="1">
    <w:name w:val="Цветовое выделение"/>
    <w:rPr>
      <w:b/>
      <w:bCs/>
      <w:color w:val="000080"/>
      <w:sz w:val="20"/>
      <w:szCs w:val="20"/>
    </w:rPr>
  </w:style>
  <w:style w:type="paragraph" w:styleId="946" w:customStyle="1">
    <w:name w:val="Таблицы (моноширинный)"/>
    <w:basedOn w:val="759"/>
    <w:next w:val="75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47">
    <w:name w:val="Balloon Text"/>
    <w:basedOn w:val="759"/>
    <w:link w:val="948"/>
    <w:uiPriority w:val="99"/>
    <w:semiHidden/>
    <w:unhideWhenUsed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basedOn w:val="760"/>
    <w:link w:val="94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9">
    <w:name w:val="List Paragraph"/>
    <w:basedOn w:val="759"/>
    <w:uiPriority w:val="34"/>
    <w:qFormat/>
    <w:pPr>
      <w:contextualSpacing/>
      <w:ind w:left="720"/>
    </w:pPr>
  </w:style>
  <w:style w:type="paragraph" w:styleId="950" w:customStyle="1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styleId="951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952" w:customStyle="1">
    <w:name w:val="ConsPlusTitle"/>
    <w:pPr>
      <w:widowControl w:val="off"/>
    </w:pPr>
    <w:rPr>
      <w:rFonts w:eastAsia="Times New Roman" w:cs="Calibri"/>
      <w:b/>
      <w:sz w:val="22"/>
    </w:rPr>
  </w:style>
  <w:style w:type="table" w:styleId="953">
    <w:name w:val="Table Grid"/>
    <w:basedOn w:val="76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4">
    <w:name w:val="Hyperlink"/>
    <w:basedOn w:val="760"/>
    <w:uiPriority w:val="99"/>
    <w:semiHidden/>
    <w:unhideWhenUsed/>
    <w:rPr>
      <w:color w:val="0000ff"/>
      <w:u w:val="single"/>
    </w:rPr>
  </w:style>
  <w:style w:type="character" w:styleId="955">
    <w:name w:val="Strong"/>
    <w:basedOn w:val="760"/>
    <w:uiPriority w:val="22"/>
    <w:qFormat/>
    <w:rPr>
      <w:b/>
      <w:bCs/>
    </w:rPr>
  </w:style>
  <w:style w:type="paragraph" w:styleId="956">
    <w:name w:val="Normal (Web)"/>
    <w:basedOn w:val="759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Relationship Id="rId16" Type="http://schemas.openxmlformats.org/officeDocument/2006/relationships/hyperlink" Target="https://login.consultant.ru/link/?req=doc&amp;base=RLAW073&amp;n=455214&amp;dst=100085&amp;field=134&amp;date=21.05.2026" TargetMode="External"/><Relationship Id="rId17" Type="http://schemas.openxmlformats.org/officeDocument/2006/relationships/hyperlink" Target="https://login.consultant.ru/link/?req=doc&amp;base=LAW&amp;n=495710&amp;dst=3146&amp;field=134&amp;date=21.05.2026" TargetMode="External"/><Relationship Id="rId18" Type="http://schemas.openxmlformats.org/officeDocument/2006/relationships/hyperlink" Target="https://login.consultant.ru/link/?req=doc&amp;base=RLAW073&amp;n=455214&amp;dst=100085&amp;field=134&amp;date=21.05.2026" TargetMode="External"/><Relationship Id="rId19" Type="http://schemas.openxmlformats.org/officeDocument/2006/relationships/hyperlink" Target="https://login.consultant.ru/link/?req=doc&amp;base=LAW&amp;n=495710&amp;dst=3146&amp;field=134&amp;date=21.05.2026" TargetMode="External"/><Relationship Id="rId20" Type="http://schemas.openxmlformats.org/officeDocument/2006/relationships/hyperlink" Target="https://login.consultant.ru/link/?req=doc&amp;base=RLAW073&amp;n=466303&amp;dst=100075&amp;field=134&amp;date=21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B81A2-911A-4F75-8431-FE582CA8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lonschakovav</dc:creator>
  <cp:lastModifiedBy>user</cp:lastModifiedBy>
  <cp:revision>10</cp:revision>
  <dcterms:created xsi:type="dcterms:W3CDTF">2026-05-20T12:21:00Z</dcterms:created>
  <dcterms:modified xsi:type="dcterms:W3CDTF">2026-05-25T09:11:14Z</dcterms:modified>
</cp:coreProperties>
</file>