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ED" w:rsidRDefault="000C46B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4ED" w:rsidRDefault="000C46B9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644ED" w:rsidRDefault="000C46B9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644ED" w:rsidRDefault="008644ED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644ED" w:rsidRDefault="008644ED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644ED" w:rsidRDefault="000C46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644ED" w:rsidRDefault="008644ED">
      <w:pPr>
        <w:tabs>
          <w:tab w:val="left" w:pos="709"/>
        </w:tabs>
        <w:jc w:val="center"/>
        <w:rPr>
          <w:sz w:val="28"/>
        </w:rPr>
      </w:pPr>
    </w:p>
    <w:p w:rsidR="008644ED" w:rsidRDefault="008644ED">
      <w:pPr>
        <w:tabs>
          <w:tab w:val="left" w:pos="709"/>
        </w:tabs>
        <w:jc w:val="center"/>
        <w:rPr>
          <w:sz w:val="28"/>
        </w:rPr>
      </w:pPr>
    </w:p>
    <w:p w:rsidR="008644ED" w:rsidRDefault="000C46B9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475-п</w:t>
      </w:r>
    </w:p>
    <w:p w:rsidR="008644ED" w:rsidRDefault="008644E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644ED">
        <w:trPr>
          <w:trHeight w:val="1963"/>
        </w:trPr>
        <w:tc>
          <w:tcPr>
            <w:tcW w:w="9929" w:type="dxa"/>
          </w:tcPr>
          <w:p w:rsidR="008644ED" w:rsidRDefault="008644ED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8644ED" w:rsidRDefault="000C46B9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Тюшевского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</w:p>
          <w:bookmarkEnd w:id="0"/>
          <w:p w:rsidR="008644ED" w:rsidRDefault="008644E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8644ED">
        <w:tc>
          <w:tcPr>
            <w:tcW w:w="9929" w:type="dxa"/>
          </w:tcPr>
          <w:p w:rsidR="008644ED" w:rsidRDefault="000C46B9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 статьи 31 Градо</w:t>
            </w:r>
            <w:r>
              <w:rPr>
                <w:color w:val="000000" w:themeColor="text1"/>
                <w:sz w:val="28"/>
                <w:highlight w:val="white"/>
              </w:rPr>
              <w:t xml:space="preserve">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</w:t>
            </w:r>
            <w:r>
              <w:rPr>
                <w:color w:val="000000" w:themeColor="text1"/>
                <w:sz w:val="28"/>
                <w:highlight w:val="white"/>
              </w:rPr>
              <w:t>кой области и органами государственной власти Рязанской области», с учетом рекомендаций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22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.05.2026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</w:t>
            </w:r>
            <w:r>
              <w:rPr>
                <w:color w:val="000000" w:themeColor="text1"/>
                <w:sz w:val="28"/>
                <w:highlight w:val="white"/>
              </w:rPr>
              <w:t>ЕТ:</w:t>
            </w:r>
          </w:p>
          <w:p w:rsidR="008644ED" w:rsidRDefault="000C46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Тюшевского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</w:t>
            </w:r>
            <w:r>
              <w:rPr>
                <w:color w:val="000000" w:themeColor="text1"/>
                <w:sz w:val="28"/>
                <w:highlight w:val="white"/>
              </w:rPr>
              <w:t xml:space="preserve"> – проект правил землепользования и застройки).</w:t>
            </w:r>
          </w:p>
          <w:p w:rsidR="008644ED" w:rsidRDefault="000C46B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8644ED" w:rsidRDefault="000C46B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Заинтересованным лицам предложени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8644ED" w:rsidRDefault="000C46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</w:t>
            </w:r>
            <w:r>
              <w:rPr>
                <w:color w:val="000000" w:themeColor="text1"/>
                <w:sz w:val="28"/>
              </w:rPr>
              <w:t>дровой работы и делопроизводства обеспечить:</w:t>
            </w:r>
          </w:p>
          <w:p w:rsidR="008644ED" w:rsidRDefault="000C46B9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lastRenderedPageBreak/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8644ED" w:rsidRDefault="000C46B9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644ED" w:rsidRDefault="000C46B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000000" w:themeColor="text1"/>
                <w:sz w:val="28"/>
                <w:highlight w:val="white"/>
              </w:rPr>
              <w:t>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8644ED" w:rsidRDefault="000C46B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</w:t>
            </w:r>
            <w:r>
              <w:rPr>
                <w:color w:val="000000" w:themeColor="text1"/>
                <w:sz w:val="28"/>
                <w:szCs w:val="28"/>
              </w:rPr>
              <w:t xml:space="preserve">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8644ED" w:rsidRDefault="000C46B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644ED" w:rsidRDefault="008644ED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644ED" w:rsidRDefault="008644ED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644ED">
        <w:tc>
          <w:tcPr>
            <w:tcW w:w="9929" w:type="dxa"/>
          </w:tcPr>
          <w:p w:rsidR="008644ED" w:rsidRDefault="000C46B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644ED" w:rsidRDefault="008644E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644ED" w:rsidRDefault="008644ED"/>
    <w:p w:rsidR="008644ED" w:rsidRDefault="008644ED">
      <w:pPr>
        <w:tabs>
          <w:tab w:val="left" w:pos="709"/>
        </w:tabs>
        <w:jc w:val="both"/>
        <w:rPr>
          <w:sz w:val="28"/>
        </w:rPr>
      </w:pPr>
    </w:p>
    <w:p w:rsidR="008644ED" w:rsidRDefault="008644ED">
      <w:pPr>
        <w:tabs>
          <w:tab w:val="left" w:pos="709"/>
        </w:tabs>
        <w:jc w:val="both"/>
        <w:rPr>
          <w:sz w:val="28"/>
        </w:rPr>
      </w:pPr>
    </w:p>
    <w:p w:rsidR="008644ED" w:rsidRDefault="008644ED">
      <w:pPr>
        <w:spacing w:line="216" w:lineRule="auto"/>
        <w:contextualSpacing/>
        <w:jc w:val="both"/>
        <w:rPr>
          <w:sz w:val="24"/>
        </w:rPr>
      </w:pPr>
    </w:p>
    <w:p w:rsidR="008644ED" w:rsidRDefault="008644ED">
      <w:pPr>
        <w:spacing w:line="216" w:lineRule="auto"/>
        <w:ind w:firstLine="709"/>
        <w:contextualSpacing/>
        <w:jc w:val="both"/>
        <w:rPr>
          <w:sz w:val="24"/>
        </w:rPr>
      </w:pPr>
    </w:p>
    <w:p w:rsidR="008644ED" w:rsidRDefault="008644ED">
      <w:pPr>
        <w:spacing w:line="216" w:lineRule="auto"/>
        <w:contextualSpacing/>
        <w:jc w:val="both"/>
        <w:rPr>
          <w:sz w:val="24"/>
        </w:rPr>
      </w:pPr>
    </w:p>
    <w:sectPr w:rsidR="008644ED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ED" w:rsidRDefault="000C46B9">
      <w:pPr>
        <w:pStyle w:val="32"/>
      </w:pPr>
      <w:r>
        <w:separator/>
      </w:r>
    </w:p>
  </w:endnote>
  <w:endnote w:type="continuationSeparator" w:id="0">
    <w:p w:rsidR="008644ED" w:rsidRDefault="000C46B9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ED" w:rsidRDefault="000C46B9">
      <w:pPr>
        <w:pStyle w:val="32"/>
      </w:pPr>
      <w:r>
        <w:separator/>
      </w:r>
    </w:p>
  </w:footnote>
  <w:footnote w:type="continuationSeparator" w:id="0">
    <w:p w:rsidR="008644ED" w:rsidRDefault="000C46B9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4ED" w:rsidRDefault="000C46B9">
    <w:pPr>
      <w:pStyle w:val="ad"/>
      <w:jc w:val="center"/>
      <w:rPr>
        <w:sz w:val="28"/>
      </w:rPr>
    </w:pPr>
    <w:r>
      <w:rPr>
        <w:sz w:val="28"/>
      </w:rPr>
      <w:t>2</w:t>
    </w:r>
  </w:p>
  <w:p w:rsidR="008644ED" w:rsidRDefault="008644ED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821A5"/>
    <w:multiLevelType w:val="multilevel"/>
    <w:tmpl w:val="5192BC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ED"/>
    <w:rsid w:val="000C46B9"/>
    <w:rsid w:val="008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F52F"/>
  <w15:docId w15:val="{D6931B49-3FD1-4A0B-ABD9-742084C3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2609</Characters>
  <Application>Microsoft Office Word</Application>
  <DocSecurity>0</DocSecurity>
  <Lines>21</Lines>
  <Paragraphs>6</Paragraphs>
  <ScaleCrop>false</ScaleCrop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141</cp:revision>
  <cp:lastPrinted>2026-06-03T10:58:00Z</cp:lastPrinted>
  <dcterms:created xsi:type="dcterms:W3CDTF">2021-12-02T15:09:00Z</dcterms:created>
  <dcterms:modified xsi:type="dcterms:W3CDTF">2026-06-03T11:00:00Z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