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0" w:beforeAutospacing="0"/>
        <w:rPr>
          <w:sz w:val="24"/>
        </w:rPr>
      </w:pPr>
      <w:r>
        <w:rPr>
          <w:b w:val="0"/>
          <w:bCs w:val="0"/>
          <w:spacing w:val="-2"/>
          <w:sz w:val="24"/>
          <w:szCs w:val="24"/>
        </w:rPr>
        <w:t xml:space="preserve">Приложение</w:t>
      </w:r>
      <w:r>
        <w:rPr>
          <w:b w:val="0"/>
          <w:bCs w:val="0"/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 w:beforeAutospacing="0"/>
        <w:rPr>
          <w:b w:val="0"/>
          <w:bCs w:val="0"/>
          <w:spacing w:val="-2"/>
          <w:sz w:val="24"/>
          <w:szCs w:val="24"/>
          <w14:ligatures w14:val="none"/>
        </w:rPr>
      </w:pPr>
      <w:r>
        <w:rPr>
          <w:b w:val="0"/>
          <w:bCs w:val="0"/>
          <w:spacing w:val="-2"/>
          <w:sz w:val="24"/>
          <w:szCs w:val="24"/>
        </w:rPr>
        <w:t xml:space="preserve">к</w:t>
      </w:r>
      <w:r>
        <w:rPr>
          <w:b w:val="0"/>
          <w:bCs w:val="0"/>
          <w:spacing w:val="-15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 xml:space="preserve">постановлению</w:t>
      </w:r>
      <w:r>
        <w:rPr>
          <w:b w:val="0"/>
          <w:bCs w:val="0"/>
          <w:spacing w:val="-15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 xml:space="preserve">главного</w:t>
      </w:r>
      <w:r>
        <w:rPr>
          <w:b w:val="0"/>
          <w:bCs w:val="0"/>
          <w:spacing w:val="-15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 xml:space="preserve">управления </w:t>
      </w:r>
      <w:r>
        <w:rPr>
          <w:b w:val="0"/>
          <w:bCs w:val="0"/>
          <w:spacing w:val="-2"/>
          <w:sz w:val="24"/>
          <w:szCs w:val="24"/>
        </w:rPr>
        <w:t xml:space="preserve">архитектуры и градостроительства </w:t>
        <w:br/>
        <w:t xml:space="preserve">Рязанской области</w:t>
      </w: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  <w14:ligatures w14:val="none"/>
        </w:rPr>
      </w:r>
    </w:p>
    <w:p>
      <w:pPr>
        <w:ind w:left="5386" w:right="0" w:firstLine="0"/>
        <w:jc w:val="left"/>
        <w:spacing w:before="0" w:beforeAutospacing="0"/>
        <w:rPr>
          <w:b w:val="0"/>
          <w:bCs w:val="0"/>
          <w:spacing w:val="-2"/>
          <w:sz w:val="24"/>
          <w:szCs w:val="24"/>
          <w14:ligatures w14:val="none"/>
        </w:rPr>
      </w:pPr>
      <w:r>
        <w:rPr>
          <w:b w:val="0"/>
          <w:bCs w:val="0"/>
          <w:spacing w:val="-2"/>
          <w:sz w:val="24"/>
          <w:szCs w:val="24"/>
        </w:rPr>
        <w:t xml:space="preserve">от 16 июня 2026 г. № 514-п</w:t>
      </w:r>
      <w:r>
        <w:rPr>
          <w:b w:val="0"/>
          <w:bCs w:val="0"/>
          <w:spacing w:val="-2"/>
          <w:sz w:val="24"/>
          <w:szCs w:val="24"/>
          <w14:ligatures w14:val="none"/>
        </w:rPr>
      </w:r>
    </w:p>
    <w:p>
      <w:pPr>
        <w:pStyle w:val="890"/>
        <w:ind w:left="5386" w:right="1858" w:firstLine="0"/>
        <w:jc w:val="center"/>
        <w:spacing w:before="69"/>
      </w:pPr>
      <w:r/>
      <w:r/>
    </w:p>
    <w:p>
      <w:pPr>
        <w:pStyle w:val="890"/>
        <w:ind w:left="5386" w:right="1858" w:firstLine="0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Дрошино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Ненашкинское, деревня Дрошино.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440 223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70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70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6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413,73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93"/>
              <w:ind w:left="1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93"/>
              <w:ind w:left="1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69632" behindDoc="1" locked="0" layoutInCell="1" allowOverlap="1">
              <wp:simplePos x="0" y="0"/>
              <wp:positionH relativeFrom="page">
                <wp:posOffset>3649050</wp:posOffset>
              </wp:positionH>
              <wp:positionV relativeFrom="page">
                <wp:posOffset>43275</wp:posOffset>
              </wp:positionV>
              <wp:extent cx="565445" cy="4856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5444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69632;o:allowoverlap:true;o:allowincell:true;mso-position-horizontal-relative:page;margin-left:287.33pt;mso-position-horizontal:absolute;mso-position-vertical-relative:page;margin-top:3.41pt;mso-position-vertical:absolute;width:44.52pt;height:38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2026-05-27T09:43:37Z</dcterms:created>
  <dcterms:modified xsi:type="dcterms:W3CDTF">2026-06-17T06:29:48Z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